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560" w:lineRule="exact"/>
        <w:jc w:val="left"/>
        <w:rPr>
          <w:rFonts w:ascii="Times New Roman" w:eastAsia="方正黑体_GBK" w:hAnsi="Times New Roman" w:hint="eastAsia"/>
        </w:rPr>
      </w:pPr>
      <w:bookmarkStart w:id="0" w:name="_GoBack"/>
      <w:bookmarkEnd w:id="0"/>
      <w:r>
        <w:rPr>
          <w:rFonts w:ascii="Times New Roman" w:eastAsia="方正黑体_GBK" w:hAnsi="Times New Roman" w:hint="eastAsia"/>
        </w:rPr>
        <w:t>附件1</w:t>
      </w:r>
    </w:p>
    <w:p>
      <w:pPr>
        <w:spacing w:line="560" w:lineRule="exact"/>
        <w:jc w:val="center"/>
        <w:rPr>
          <w:rFonts w:ascii="Times New Roman" w:eastAsia="方正小标宋_GBK" w:hAnsi="Times New Roman" w:hint="eastAsia"/>
          <w:b/>
        </w:rPr>
      </w:pPr>
      <w:r>
        <w:rPr>
          <w:rFonts w:ascii="Times New Roman" w:eastAsia="方正小标宋_GBK" w:hAnsi="Times New Roman" w:hint="eastAsia"/>
          <w:b/>
        </w:rPr>
        <w:t>采购需求</w:t>
      </w:r>
    </w:p>
    <w:tbl>
      <w:tblPr>
        <w:tblpPr w:leftFromText="180" w:rightFromText="180" w:vertAnchor="text" w:horzAnchor="page" w:tblpX="1549" w:tblpY="97"/>
        <w:tblOverlap w:val="never"/>
        <w:tblW w:w="91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720"/>
        <w:gridCol w:w="1245"/>
        <w:gridCol w:w="720"/>
        <w:gridCol w:w="720"/>
        <w:gridCol w:w="3435"/>
        <w:gridCol w:w="2339"/>
      </w:tblGrid>
      <w:tr>
        <w:trPr>
          <w:trHeight w:val="282"/>
        </w:trPr>
        <w:tc>
          <w:tcPr>
            <w:tcW w:w="9179" w:type="dxa"/>
            <w:gridSpan w:val="6"/>
            <w:tcBorders>
              <w:tl2br w:val="nil"/>
              <w:tr2bl w:val="nil"/>
            </w:tcBorders>
            <w:shd w:val="clear" w:color="auto" w:fill="auto"/>
            <w:noWrap/>
            <w:vAlign w:val="center"/>
          </w:tcPr>
          <w:p>
            <w:pPr>
              <w:pStyle w:val="68"/>
              <w:widowControl/>
              <w:jc w:val="left"/>
              <w:textAlignment w:val="center"/>
              <w:rPr>
                <w:rFonts w:ascii="Times New Roman" w:cs="宋体" w:hAnsi="Times New Roman" w:hint="eastAsia"/>
                <w:b/>
                <w:bCs/>
                <w:color w:val="000000"/>
                <w:kern w:val="0"/>
                <w:szCs w:val="21"/>
                <w:lang w:bidi="ar-SA"/>
              </w:rPr>
            </w:pPr>
            <w:r>
              <w:rPr>
                <w:rFonts w:ascii="Times New Roman" w:cs="宋体" w:hAnsi="Times New Roman" w:hint="eastAsia"/>
                <w:b/>
                <w:bCs/>
                <w:color w:val="000000"/>
                <w:kern w:val="0"/>
                <w:szCs w:val="21"/>
                <w:lang w:bidi="ar-SA"/>
              </w:rPr>
              <w:t>一、</w:t>
            </w:r>
            <w:r>
              <w:rPr>
                <w:rFonts w:ascii="Times New Roman" w:cs="宋体" w:hAnsi="Times New Roman"/>
                <w:b/>
                <w:bCs/>
                <w:color w:val="000000"/>
                <w:kern w:val="0"/>
                <w:szCs w:val="21"/>
                <w:lang w:bidi="ar-SA"/>
              </w:rPr>
              <w:t>技术</w:t>
            </w:r>
            <w:r>
              <w:rPr>
                <w:rFonts w:ascii="Times New Roman" w:cs="宋体" w:hAnsi="Times New Roman" w:hint="eastAsia"/>
                <w:b/>
                <w:bCs/>
                <w:color w:val="000000"/>
                <w:kern w:val="0"/>
                <w:szCs w:val="21"/>
                <w:lang w:bidi="ar-SA"/>
              </w:rPr>
              <w:t>要求</w:t>
            </w:r>
          </w:p>
        </w:tc>
      </w:tr>
      <w:tr>
        <w:trPr>
          <w:trHeight w:val="282"/>
        </w:trPr>
        <w:tc>
          <w:tcPr>
            <w:tcW w:w="720" w:type="dxa"/>
            <w:tcBorders>
              <w:tl2br w:val="nil"/>
              <w:tr2bl w:val="nil"/>
            </w:tcBorders>
            <w:shd w:val="clear" w:color="auto" w:fill="auto"/>
            <w:noWrap/>
            <w:vAlign w:val="center"/>
          </w:tcPr>
          <w:p>
            <w:pPr>
              <w:pStyle w:val="72"/>
              <w:widowControl/>
              <w:jc w:val="center"/>
              <w:textAlignment w:val="center"/>
              <w:rPr>
                <w:rFonts w:ascii="Times New Roman" w:cs="宋体" w:hAnsi="Times New Roman" w:hint="eastAsia"/>
                <w:b/>
                <w:bCs/>
                <w:color w:val="000000"/>
                <w:szCs w:val="21"/>
                <w:lang w:bidi="ar-SA"/>
              </w:rPr>
            </w:pPr>
            <w:r>
              <w:rPr>
                <w:rFonts w:ascii="Times New Roman" w:cs="宋体" w:hAnsi="Times New Roman" w:hint="eastAsia"/>
                <w:b/>
                <w:bCs/>
                <w:color w:val="000000"/>
                <w:kern w:val="0"/>
                <w:szCs w:val="21"/>
                <w:lang w:bidi="ar-SA"/>
              </w:rPr>
              <w:t>序号</w:t>
            </w:r>
          </w:p>
        </w:tc>
        <w:tc>
          <w:tcPr>
            <w:tcW w:w="1245" w:type="dxa"/>
            <w:tcBorders>
              <w:tl2br w:val="nil"/>
              <w:tr2bl w:val="nil"/>
            </w:tcBorders>
            <w:shd w:val="clear" w:color="auto" w:fill="auto"/>
            <w:noWrap/>
            <w:vAlign w:val="center"/>
          </w:tcPr>
          <w:p>
            <w:pPr>
              <w:pStyle w:val="71"/>
              <w:widowControl/>
              <w:jc w:val="center"/>
              <w:textAlignment w:val="center"/>
              <w:rPr>
                <w:rFonts w:ascii="Times New Roman" w:cs="宋体" w:hAnsi="Times New Roman" w:hint="eastAsia"/>
                <w:b/>
                <w:bCs/>
                <w:color w:val="000000"/>
                <w:szCs w:val="21"/>
                <w:lang w:bidi="ar-SA"/>
              </w:rPr>
            </w:pPr>
            <w:r>
              <w:rPr>
                <w:rFonts w:ascii="Times New Roman" w:cs="宋体" w:hAnsi="Times New Roman" w:hint="eastAsia"/>
                <w:b/>
                <w:bCs/>
                <w:color w:val="000000"/>
                <w:kern w:val="0"/>
                <w:szCs w:val="21"/>
                <w:lang w:bidi="ar-SA"/>
              </w:rPr>
              <w:t>名称</w:t>
            </w:r>
          </w:p>
        </w:tc>
        <w:tc>
          <w:tcPr>
            <w:tcW w:w="720" w:type="dxa"/>
            <w:tcBorders>
              <w:tl2br w:val="nil"/>
              <w:tr2bl w:val="nil"/>
            </w:tcBorders>
            <w:shd w:val="clear" w:color="auto" w:fill="auto"/>
            <w:noWrap/>
            <w:vAlign w:val="center"/>
          </w:tcPr>
          <w:p>
            <w:pPr>
              <w:pStyle w:val="70"/>
              <w:widowControl/>
              <w:jc w:val="center"/>
              <w:textAlignment w:val="center"/>
              <w:rPr>
                <w:rFonts w:ascii="Times New Roman" w:cs="宋体" w:hAnsi="Times New Roman" w:hint="eastAsia"/>
                <w:b/>
                <w:bCs/>
                <w:color w:val="000000"/>
                <w:kern w:val="0"/>
                <w:szCs w:val="21"/>
                <w:lang w:bidi="ar-SA"/>
              </w:rPr>
            </w:pPr>
            <w:r>
              <w:rPr>
                <w:rFonts w:ascii="Times New Roman" w:cs="宋体" w:hAnsi="Times New Roman" w:hint="eastAsia"/>
                <w:b/>
                <w:bCs/>
                <w:color w:val="000000"/>
                <w:kern w:val="0"/>
                <w:szCs w:val="21"/>
                <w:lang w:bidi="ar-SA"/>
              </w:rPr>
              <w:t>数量</w:t>
            </w:r>
          </w:p>
        </w:tc>
        <w:tc>
          <w:tcPr>
            <w:tcW w:w="720" w:type="dxa"/>
            <w:tcBorders>
              <w:tl2br w:val="nil"/>
              <w:tr2bl w:val="nil"/>
            </w:tcBorders>
            <w:shd w:val="clear" w:color="auto" w:fill="auto"/>
            <w:noWrap/>
            <w:vAlign w:val="center"/>
          </w:tcPr>
          <w:p>
            <w:pPr>
              <w:pStyle w:val="69"/>
              <w:widowControl/>
              <w:jc w:val="center"/>
              <w:textAlignment w:val="center"/>
              <w:rPr>
                <w:rFonts w:ascii="Times New Roman" w:cs="宋体" w:hAnsi="Times New Roman" w:hint="eastAsia"/>
                <w:b/>
                <w:bCs/>
                <w:color w:val="000000"/>
                <w:kern w:val="0"/>
                <w:szCs w:val="21"/>
                <w:lang w:bidi="ar-SA"/>
              </w:rPr>
            </w:pPr>
            <w:r>
              <w:rPr>
                <w:rFonts w:ascii="Times New Roman" w:cs="宋体" w:hAnsi="Times New Roman" w:hint="eastAsia"/>
                <w:b/>
                <w:bCs/>
                <w:color w:val="000000"/>
                <w:kern w:val="0"/>
                <w:szCs w:val="21"/>
                <w:lang w:bidi="ar-SA"/>
              </w:rPr>
              <w:t>单位</w:t>
            </w:r>
          </w:p>
        </w:tc>
        <w:tc>
          <w:tcPr>
            <w:tcW w:w="3435" w:type="dxa"/>
            <w:tcBorders>
              <w:tl2br w:val="nil"/>
              <w:tr2bl w:val="nil"/>
            </w:tcBorders>
            <w:shd w:val="clear" w:color="auto" w:fill="auto"/>
            <w:noWrap/>
            <w:vAlign w:val="center"/>
          </w:tcPr>
          <w:p>
            <w:pPr>
              <w:pStyle w:val="69"/>
              <w:widowControl/>
              <w:jc w:val="center"/>
              <w:textAlignment w:val="center"/>
              <w:rPr>
                <w:rFonts w:ascii="Times New Roman" w:cs="宋体" w:hAnsi="Times New Roman" w:hint="eastAsia"/>
                <w:b/>
                <w:bCs/>
                <w:color w:val="000000"/>
                <w:szCs w:val="21"/>
                <w:lang w:bidi="ar-SA"/>
              </w:rPr>
            </w:pPr>
            <w:r>
              <w:rPr>
                <w:rFonts w:ascii="Times New Roman" w:cs="宋体" w:hAnsi="Times New Roman" w:hint="eastAsia"/>
                <w:b/>
                <w:bCs/>
                <w:color w:val="000000"/>
                <w:kern w:val="0"/>
                <w:szCs w:val="21"/>
                <w:lang w:bidi="ar-SA"/>
              </w:rPr>
              <w:t>需求内容</w:t>
            </w:r>
          </w:p>
        </w:tc>
        <w:tc>
          <w:tcPr>
            <w:tcW w:w="2339" w:type="dxa"/>
            <w:tcBorders>
              <w:tl2br w:val="nil"/>
              <w:tr2bl w:val="nil"/>
            </w:tcBorders>
            <w:shd w:val="clear" w:color="auto" w:fill="auto"/>
            <w:noWrap/>
            <w:vAlign w:val="center"/>
          </w:tcPr>
          <w:p>
            <w:pPr>
              <w:pStyle w:val="68"/>
              <w:widowControl/>
              <w:jc w:val="center"/>
              <w:textAlignment w:val="center"/>
              <w:rPr>
                <w:rFonts w:ascii="Times New Roman" w:cs="宋体" w:hAnsi="Times New Roman" w:hint="eastAsia"/>
                <w:b/>
                <w:bCs/>
                <w:color w:val="000000"/>
                <w:szCs w:val="21"/>
                <w:lang w:bidi="ar-SA"/>
              </w:rPr>
            </w:pPr>
            <w:r>
              <w:rPr>
                <w:rFonts w:ascii="Times New Roman" w:cs="宋体" w:hAnsi="Times New Roman" w:hint="eastAsia"/>
                <w:b/>
                <w:bCs/>
                <w:color w:val="000000"/>
                <w:kern w:val="0"/>
                <w:szCs w:val="21"/>
                <w:lang w:bidi="ar-SA"/>
              </w:rPr>
              <w:t>包装清单（单套）</w:t>
            </w:r>
          </w:p>
        </w:tc>
      </w:tr>
      <w:tr>
        <w:trPr>
          <w:trHeight w:val="283"/>
        </w:trPr>
        <w:tc>
          <w:tcPr>
            <w:tcW w:w="720" w:type="dxa"/>
            <w:tcBorders>
              <w:tl2br w:val="nil"/>
              <w:tr2bl w:val="nil"/>
            </w:tcBorders>
            <w:shd w:val="clear" w:color="auto" w:fill="auto"/>
            <w:noWrap/>
            <w:vAlign w:val="center"/>
          </w:tcPr>
          <w:p>
            <w:pPr>
              <w:pStyle w:val="67"/>
              <w:widowControl/>
              <w:jc w:val="center"/>
              <w:textAlignment w:val="center"/>
              <w:rPr>
                <w:rFonts w:ascii="Times New Roman" w:cs="宋体" w:hAnsi="Times New Roman" w:hint="eastAsia"/>
                <w:color w:val="000000"/>
                <w:szCs w:val="21"/>
                <w:lang w:bidi="ar-SA"/>
              </w:rPr>
            </w:pPr>
            <w:r>
              <w:rPr>
                <w:rFonts w:ascii="Times New Roman" w:cs="宋体" w:hAnsi="Times New Roman" w:hint="eastAsia"/>
                <w:color w:val="000000"/>
                <w:kern w:val="0"/>
                <w:szCs w:val="21"/>
                <w:lang w:bidi="ar-SA"/>
              </w:rPr>
              <w:t>1</w:t>
            </w:r>
          </w:p>
        </w:tc>
        <w:tc>
          <w:tcPr>
            <w:tcW w:w="1245" w:type="dxa"/>
            <w:tcBorders>
              <w:tl2br w:val="nil"/>
              <w:tr2bl w:val="nil"/>
            </w:tcBorders>
            <w:shd w:val="clear" w:color="auto" w:fill="auto"/>
            <w:vAlign w:val="center"/>
          </w:tcPr>
          <w:p>
            <w:pPr>
              <w:pStyle w:val="66"/>
              <w:widowControl/>
              <w:jc w:val="left"/>
              <w:textAlignment w:val="center"/>
              <w:rPr>
                <w:rFonts w:ascii="Times New Roman" w:cs="宋体" w:hAnsi="Times New Roman" w:hint="eastAsia"/>
                <w:color w:val="000000"/>
                <w:szCs w:val="21"/>
                <w:lang w:bidi="ar-SA"/>
              </w:rPr>
            </w:pPr>
            <w:r>
              <w:rPr>
                <w:rFonts w:ascii="Times New Roman" w:cs="宋体" w:hAnsi="Times New Roman"/>
                <w:color w:val="000000"/>
                <w:kern w:val="0"/>
                <w:szCs w:val="21"/>
                <w:lang w:bidi="ar-SA"/>
              </w:rPr>
              <w:t>紫外分光光度计</w:t>
            </w:r>
          </w:p>
        </w:tc>
        <w:tc>
          <w:tcPr>
            <w:tcW w:w="720" w:type="dxa"/>
            <w:tcBorders>
              <w:tl2br w:val="nil"/>
              <w:tr2bl w:val="nil"/>
            </w:tcBorders>
            <w:shd w:val="clear" w:color="auto" w:fill="auto"/>
            <w:noWrap/>
            <w:vAlign w:val="center"/>
          </w:tcPr>
          <w:p>
            <w:pPr>
              <w:pStyle w:val="65"/>
              <w:widowControl/>
              <w:jc w:val="center"/>
              <w:textAlignment w:val="center"/>
              <w:rPr>
                <w:rFonts w:ascii="Times New Roman" w:cs="宋体" w:hAnsi="Times New Roman" w:hint="eastAsia"/>
                <w:color w:val="000000"/>
                <w:kern w:val="0"/>
                <w:szCs w:val="21"/>
                <w:lang w:bidi="ar-SA"/>
              </w:rPr>
            </w:pPr>
            <w:r>
              <w:rPr>
                <w:rFonts w:ascii="Times New Roman" w:cs="宋体" w:hAnsi="Times New Roman"/>
                <w:color w:val="000000"/>
                <w:kern w:val="0"/>
                <w:szCs w:val="21"/>
                <w:lang w:bidi="ar-SA"/>
              </w:rPr>
              <w:t>1</w:t>
            </w:r>
          </w:p>
        </w:tc>
        <w:tc>
          <w:tcPr>
            <w:tcW w:w="720" w:type="dxa"/>
            <w:tcBorders>
              <w:tl2br w:val="nil"/>
              <w:tr2bl w:val="nil"/>
            </w:tcBorders>
            <w:shd w:val="clear" w:color="auto" w:fill="auto"/>
            <w:noWrap/>
            <w:vAlign w:val="center"/>
          </w:tcPr>
          <w:p>
            <w:pPr>
              <w:pStyle w:val="64"/>
              <w:widowControl/>
              <w:jc w:val="center"/>
              <w:textAlignment w:val="center"/>
              <w:rPr>
                <w:rFonts w:ascii="Times New Roman" w:cs="宋体" w:hAnsi="Times New Roman" w:hint="eastAsia"/>
                <w:color w:val="000000"/>
                <w:szCs w:val="21"/>
                <w:lang w:bidi="ar-SA"/>
              </w:rPr>
            </w:pPr>
            <w:r>
              <w:rPr>
                <w:rFonts w:ascii="Times New Roman" w:cs="宋体" w:hAnsi="Times New Roman"/>
                <w:color w:val="000000"/>
                <w:szCs w:val="21"/>
                <w:lang w:bidi="ar-SA"/>
              </w:rPr>
              <w:t>台</w:t>
            </w:r>
          </w:p>
        </w:tc>
        <w:tc>
          <w:tcPr>
            <w:tcW w:w="3435" w:type="dxa"/>
            <w:tcBorders>
              <w:tl2br w:val="nil"/>
              <w:tr2bl w:val="nil"/>
            </w:tcBorders>
            <w:shd w:val="clear" w:color="auto" w:fill="auto"/>
            <w:noWrap/>
            <w:vAlign w:val="center"/>
          </w:tcPr>
          <w:p>
            <w:pPr>
              <w:pStyle w:val="81"/>
              <w:keepNext/>
              <w:keepLines/>
              <w:pageBreakBefore w:val="0"/>
              <w:widowControl w:val="0"/>
              <w:kinsoku/>
              <w:wordWrap/>
              <w:overflowPunct/>
              <w:topLinePunct w:val="0"/>
              <w:autoSpaceDE/>
              <w:autoSpaceDN/>
              <w:bidi w:val="0"/>
              <w:adjustRightInd w:val="0"/>
              <w:snapToGrid w:val="0"/>
              <w:spacing w:before="0" w:after="0" w:line="240" w:lineRule="auto"/>
              <w:rPr>
                <w:rFonts w:ascii="Times New Roman" w:hAnsi="Times New Roman" w:hint="eastAsia"/>
                <w:szCs w:val="21"/>
                <w:lang w:val="en-US" w:eastAsia="zh-CN" w:bidi="ar-SA"/>
              </w:rPr>
            </w:pPr>
            <w:r>
              <w:rPr>
                <w:rFonts w:ascii="Times New Roman" w:hAnsi="Times New Roman" w:hint="eastAsia"/>
                <w:szCs w:val="21"/>
                <w:lang w:val="en-US" w:eastAsia="zh-CN" w:bidi="ar-SA"/>
              </w:rPr>
              <w:t>（</w:t>
            </w:r>
            <w:r>
              <w:rPr>
                <w:rFonts w:ascii="Times New Roman" w:hAnsi="Times New Roman" w:hint="eastAsia"/>
                <w:szCs w:val="21"/>
              </w:rPr>
              <w:t>标注</w:t>
            </w:r>
            <w:r>
              <w:rPr>
                <w:rFonts w:ascii="Times New Roman" w:hAnsi="Times New Roman" w:hint="eastAsia"/>
                <w:szCs w:val="21"/>
                <w:lang w:eastAsia="zh-CN"/>
              </w:rPr>
              <w:t>“</w:t>
            </w:r>
            <w:r>
              <w:rPr>
                <w:rFonts w:ascii="Times New Roman" w:hAnsi="Times New Roman" w:hint="eastAsia"/>
                <w:szCs w:val="21"/>
                <w:lang w:val="en-US" w:eastAsia="zh-CN"/>
              </w:rPr>
              <w:t>★</w:t>
            </w:r>
            <w:r>
              <w:rPr>
                <w:rFonts w:ascii="Times New Roman" w:hAnsi="Times New Roman" w:hint="eastAsia"/>
                <w:szCs w:val="21"/>
              </w:rPr>
              <w:t>”的条款为关键技术参数，</w:t>
            </w:r>
            <w:r>
              <w:rPr>
                <w:rFonts w:ascii="Times New Roman" w:hAnsi="Times New Roman" w:hint="eastAsia"/>
                <w:szCs w:val="21"/>
                <w:lang w:val="en-US" w:eastAsia="zh-CN"/>
              </w:rPr>
              <w:t>对关键技术参数负的负偏离将无法参与投标。</w:t>
            </w:r>
            <w:r>
              <w:rPr>
                <w:rFonts w:ascii="Times New Roman" w:hAnsi="Times New Roman" w:hint="eastAsia"/>
                <w:szCs w:val="21"/>
              </w:rPr>
              <w:t>标注“▲”的条款为重要技术参数</w:t>
            </w:r>
            <w:r>
              <w:rPr>
                <w:rFonts w:ascii="Times New Roman" w:hAnsi="Times New Roman" w:hint="eastAsia"/>
                <w:szCs w:val="21"/>
                <w:lang w:eastAsia="zh-CN"/>
              </w:rPr>
              <w:t>，</w:t>
            </w:r>
            <w:r>
              <w:rPr>
                <w:rFonts w:ascii="Times New Roman" w:hAnsi="Times New Roman" w:hint="eastAsia"/>
                <w:szCs w:val="21"/>
                <w:lang w:val="en-US" w:eastAsia="zh-CN"/>
              </w:rPr>
              <w:t>其分值较高</w:t>
            </w:r>
            <w:r>
              <w:rPr>
                <w:rFonts w:ascii="Times New Roman" w:hAnsi="Times New Roman" w:hint="eastAsia"/>
                <w:szCs w:val="21"/>
                <w:lang w:eastAsia="zh-CN"/>
              </w:rPr>
              <w:t>。</w:t>
            </w:r>
            <w:r>
              <w:rPr>
                <w:rFonts w:ascii="Times New Roman" w:hAnsi="Times New Roman" w:hint="eastAsia"/>
                <w:szCs w:val="21"/>
              </w:rPr>
              <w:t>其他未标注符号的条款为一般技术参数。</w:t>
            </w:r>
            <w:r>
              <w:rPr>
                <w:rFonts w:ascii="Times New Roman" w:hAnsi="Times New Roman" w:hint="eastAsia"/>
                <w:szCs w:val="21"/>
                <w:lang w:val="en-US" w:eastAsia="zh-CN" w:bidi="ar-SA"/>
              </w:rPr>
              <w:t>)</w:t>
            </w:r>
          </w:p>
          <w:p>
            <w:pPr>
              <w:pStyle w:val="81"/>
              <w:pageBreakBefore w:val="0"/>
              <w:widowControl w:val="0"/>
              <w:kinsoku/>
              <w:wordWrap/>
              <w:overflowPunct/>
              <w:topLinePunct w:val="0"/>
              <w:autoSpaceDE/>
              <w:autoSpaceDN/>
              <w:adjustRightInd w:val="0"/>
              <w:snapToGrid w:val="0"/>
              <w:rPr>
                <w:rFonts w:ascii="Times New Roman" w:hAnsi="Times New Roman" w:hint="eastAsia"/>
                <w:bCs/>
                <w:szCs w:val="21"/>
              </w:rPr>
            </w:pPr>
            <w:r>
              <w:rPr>
                <w:rFonts w:ascii="Times New Roman" w:hAnsi="Times New Roman" w:hint="eastAsia"/>
                <w:b/>
                <w:bCs/>
                <w:szCs w:val="21"/>
                <w:lang w:val="en-US" w:eastAsia="zh-CN"/>
              </w:rPr>
              <w:t>1</w:t>
            </w:r>
            <w:r>
              <w:rPr>
                <w:rFonts w:ascii="Times New Roman" w:hAnsi="Times New Roman" w:hint="eastAsia"/>
                <w:bCs/>
                <w:szCs w:val="21"/>
              </w:rPr>
              <w:t>．主要用途</w:t>
            </w:r>
          </w:p>
          <w:p>
            <w:pPr>
              <w:pStyle w:val="81"/>
              <w:pageBreakBefore w:val="0"/>
              <w:widowControl w:val="0"/>
              <w:kinsoku/>
              <w:wordWrap/>
              <w:overflowPunct/>
              <w:topLinePunct w:val="0"/>
              <w:autoSpaceDE/>
              <w:autoSpaceDN/>
              <w:adjustRightInd w:val="0"/>
              <w:snapToGrid w:val="0"/>
              <w:rPr>
                <w:rFonts w:ascii="Times New Roman" w:hAnsi="Times New Roman" w:hint="eastAsia"/>
                <w:szCs w:val="21"/>
              </w:rPr>
            </w:pPr>
            <w:r>
              <w:rPr>
                <w:rFonts w:ascii="Times New Roman" w:hAnsi="Times New Roman" w:hint="eastAsia"/>
                <w:szCs w:val="21"/>
              </w:rPr>
              <w:t>1.用于水质、食品、饲料、生化样品、药品以及环境样品等的定性定量分析，也可满足科研教学需求。</w:t>
            </w:r>
          </w:p>
          <w:p>
            <w:pPr>
              <w:pStyle w:val="81"/>
              <w:pageBreakBefore w:val="0"/>
              <w:widowControl w:val="0"/>
              <w:kinsoku/>
              <w:wordWrap/>
              <w:overflowPunct/>
              <w:topLinePunct w:val="0"/>
              <w:autoSpaceDE/>
              <w:autoSpaceDN/>
              <w:adjustRightInd w:val="0"/>
              <w:snapToGrid w:val="0"/>
              <w:rPr>
                <w:rFonts w:ascii="Times New Roman" w:hAnsi="Times New Roman" w:hint="eastAsia"/>
                <w:szCs w:val="21"/>
              </w:rPr>
            </w:pPr>
            <w:r>
              <w:rPr>
                <w:rFonts w:ascii="Times New Roman" w:hAnsi="Times New Roman" w:hint="eastAsia"/>
                <w:szCs w:val="21"/>
              </w:rPr>
              <w:t>2.特殊资质要求</w:t>
            </w:r>
          </w:p>
          <w:p>
            <w:pPr>
              <w:pStyle w:val="81"/>
              <w:pageBreakBefore w:val="0"/>
              <w:widowControl w:val="0"/>
              <w:kinsoku/>
              <w:wordWrap/>
              <w:overflowPunct/>
              <w:topLinePunct w:val="0"/>
              <w:autoSpaceDE/>
              <w:autoSpaceDN/>
              <w:adjustRightInd w:val="0"/>
              <w:snapToGrid w:val="0"/>
              <w:rPr>
                <w:rFonts w:ascii="Times New Roman" w:hAnsi="Times New Roman" w:hint="eastAsia"/>
                <w:szCs w:val="21"/>
              </w:rPr>
            </w:pPr>
            <w:r>
              <w:rPr>
                <w:rFonts w:ascii="Times New Roman" w:hAnsi="Times New Roman" w:hint="eastAsia"/>
                <w:szCs w:val="21"/>
              </w:rPr>
              <w:t>无</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rPr>
              <w:t>3. 主要</w:t>
            </w:r>
            <w:r>
              <w:rPr>
                <w:rFonts w:ascii="Times New Roman" w:hAnsi="Times New Roman" w:hint="eastAsia"/>
                <w:szCs w:val="21"/>
              </w:rPr>
              <w:t>技术参数</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w:t>
            </w:r>
            <w:r>
              <w:rPr>
                <w:rFonts w:ascii="Times New Roman" w:hAnsi="Times New Roman"/>
                <w:szCs w:val="21"/>
                <w:lang w:val="en-US" w:eastAsia="zh-CN"/>
              </w:rPr>
              <w:t>3</w:t>
            </w:r>
            <w:r>
              <w:rPr>
                <w:rFonts w:ascii="Times New Roman" w:hAnsi="Times New Roman" w:hint="eastAsia"/>
                <w:szCs w:val="21"/>
              </w:rPr>
              <w:t>.1波长范围：190～1100nm</w:t>
            </w:r>
            <w:r>
              <w:rPr>
                <w:rFonts w:ascii="Times New Roman" w:hAnsi="Times New Roman" w:hint="eastAsia"/>
                <w:szCs w:val="21"/>
                <w:lang w:eastAsia="zh-CN"/>
              </w:rPr>
              <w:t>，</w:t>
            </w:r>
            <w:r>
              <w:rPr>
                <w:rFonts w:ascii="Times New Roman" w:hAnsi="Times New Roman" w:hint="eastAsia"/>
                <w:szCs w:val="21"/>
                <w:lang w:val="en-US" w:eastAsia="zh-CN"/>
              </w:rPr>
              <w:t>连续可调</w:t>
            </w:r>
            <w:r>
              <w:rPr>
                <w:rFonts w:ascii="Times New Roman" w:hAnsi="Times New Roman" w:hint="eastAsia"/>
                <w:szCs w:val="21"/>
              </w:rPr>
              <w:t>；</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lang w:val="en-US" w:eastAsia="zh-CN"/>
              </w:rPr>
              <w:t>★</w:t>
            </w:r>
            <w:r>
              <w:rPr>
                <w:rFonts w:ascii="Times New Roman" w:hAnsi="Times New Roman"/>
                <w:szCs w:val="21"/>
                <w:lang w:val="en-US" w:eastAsia="zh-CN"/>
              </w:rPr>
              <w:t>3</w:t>
            </w:r>
            <w:r>
              <w:rPr>
                <w:rFonts w:ascii="Times New Roman" w:hAnsi="Times New Roman" w:hint="eastAsia"/>
                <w:szCs w:val="21"/>
              </w:rPr>
              <w:t>.2波长准确度：≤±0.5nm；</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lang w:val="en-US" w:eastAsia="zh-CN"/>
              </w:rPr>
              <w:t>★</w:t>
            </w:r>
            <w:r>
              <w:rPr>
                <w:rFonts w:ascii="Times New Roman" w:hAnsi="Times New Roman"/>
                <w:szCs w:val="21"/>
                <w:lang w:val="en-US" w:eastAsia="zh-CN"/>
              </w:rPr>
              <w:t>3</w:t>
            </w:r>
            <w:r>
              <w:rPr>
                <w:rFonts w:ascii="Times New Roman" w:hAnsi="Times New Roman" w:hint="eastAsia"/>
                <w:szCs w:val="21"/>
              </w:rPr>
              <w:t>.3波长重复性：≤0.1nm；</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lang w:val="en-US" w:eastAsia="zh-CN"/>
              </w:rPr>
            </w:pPr>
            <w:r>
              <w:rPr>
                <w:rFonts w:ascii="Times New Roman" w:hAnsi="Times New Roman"/>
                <w:szCs w:val="21"/>
                <w:lang w:val="en-US" w:eastAsia="zh-CN"/>
              </w:rPr>
              <w:t>3</w:t>
            </w:r>
            <w:r>
              <w:rPr>
                <w:rFonts w:ascii="Times New Roman" w:hAnsi="Times New Roman" w:hint="eastAsia"/>
                <w:szCs w:val="21"/>
              </w:rPr>
              <w:t>.4</w:t>
            </w:r>
            <w:r>
              <w:rPr>
                <w:rFonts w:ascii="Times New Roman" w:hAnsi="Times New Roman" w:hint="eastAsia"/>
                <w:szCs w:val="21"/>
                <w:lang w:val="en-US" w:eastAsia="zh-CN"/>
              </w:rPr>
              <w:t>光学系统：双光束，Czerny-Turner全息光栅单色器</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3</w:t>
            </w:r>
            <w:r>
              <w:rPr>
                <w:rFonts w:ascii="Times New Roman" w:hAnsi="Times New Roman" w:hint="eastAsia"/>
                <w:szCs w:val="21"/>
              </w:rPr>
              <w:t>.5光谱带宽：1.5nm</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3</w:t>
            </w:r>
            <w:r>
              <w:rPr>
                <w:rFonts w:ascii="Times New Roman" w:hAnsi="Times New Roman" w:hint="eastAsia"/>
                <w:szCs w:val="21"/>
              </w:rPr>
              <w:t>.6光度范围：-</w:t>
            </w:r>
            <w:r>
              <w:rPr>
                <w:rFonts w:ascii="Times New Roman" w:hAnsi="Times New Roman" w:hint="eastAsia"/>
                <w:szCs w:val="21"/>
                <w:lang w:val="en-US" w:eastAsia="zh-CN"/>
              </w:rPr>
              <w:t>4~</w:t>
            </w:r>
            <w:r>
              <w:rPr>
                <w:rFonts w:ascii="Times New Roman" w:hAnsi="Times New Roman" w:hint="eastAsia"/>
                <w:szCs w:val="21"/>
              </w:rPr>
              <w:t>4Abs；</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lang w:val="en-US" w:eastAsia="zh-CN"/>
              </w:rPr>
              <w:t>★</w:t>
            </w:r>
            <w:r>
              <w:rPr>
                <w:rFonts w:ascii="Times New Roman" w:hAnsi="Times New Roman"/>
                <w:szCs w:val="21"/>
                <w:lang w:val="en-US" w:eastAsia="zh-CN"/>
              </w:rPr>
              <w:t>3</w:t>
            </w:r>
            <w:r>
              <w:rPr>
                <w:rFonts w:ascii="Times New Roman" w:hAnsi="Times New Roman" w:hint="eastAsia"/>
                <w:szCs w:val="21"/>
              </w:rPr>
              <w:t>.7光度准确度 (Abs)：</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 0.005 Abs</w:t>
            </w:r>
            <w:r>
              <w:rPr>
                <w:rFonts w:ascii="Times New Roman" w:hAnsi="Times New Roman" w:hint="eastAsia"/>
                <w:szCs w:val="21"/>
                <w:lang w:eastAsia="zh-CN"/>
              </w:rPr>
              <w:t>（</w:t>
            </w:r>
            <w:r>
              <w:rPr>
                <w:rFonts w:ascii="Times New Roman" w:hAnsi="Times New Roman" w:hint="eastAsia"/>
                <w:szCs w:val="21"/>
              </w:rPr>
              <w:t xml:space="preserve">1 Abs </w:t>
            </w:r>
            <w:r>
              <w:rPr>
                <w:rFonts w:ascii="Times New Roman" w:hAnsi="Times New Roman" w:hint="eastAsia"/>
                <w:szCs w:val="21"/>
                <w:lang w:eastAsia="zh-CN"/>
              </w:rPr>
              <w:t>，</w:t>
            </w:r>
            <w:r>
              <w:rPr>
                <w:rFonts w:ascii="Times New Roman" w:hAnsi="Times New Roman" w:hint="eastAsia"/>
                <w:szCs w:val="21"/>
              </w:rPr>
              <w:t>NIST 930E 滤光片</w:t>
            </w:r>
            <w:r>
              <w:rPr>
                <w:rFonts w:ascii="Times New Roman" w:hAnsi="Times New Roman" w:hint="eastAsia"/>
                <w:szCs w:val="21"/>
                <w:lang w:eastAsia="zh-CN"/>
              </w:rPr>
              <w:t>）</w:t>
            </w:r>
            <w:r>
              <w:rPr>
                <w:rFonts w:ascii="Times New Roman" w:hAnsi="Times New Roman" w:hint="eastAsia"/>
                <w:szCs w:val="21"/>
              </w:rPr>
              <w:t>；</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3</w:t>
            </w:r>
            <w:r>
              <w:rPr>
                <w:rFonts w:ascii="Times New Roman" w:hAnsi="Times New Roman" w:hint="eastAsia"/>
                <w:szCs w:val="21"/>
                <w:lang w:val="en-US" w:eastAsia="zh-CN"/>
              </w:rPr>
              <w:t>.8</w:t>
            </w:r>
            <w:r>
              <w:rPr>
                <w:rFonts w:ascii="Times New Roman" w:hAnsi="Times New Roman" w:hint="eastAsia"/>
                <w:szCs w:val="21"/>
              </w:rPr>
              <w:t>基线平滑度：±0.001Abs；</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3</w:t>
            </w:r>
            <w:r>
              <w:rPr>
                <w:rFonts w:ascii="Times New Roman" w:hAnsi="Times New Roman" w:hint="eastAsia"/>
                <w:szCs w:val="21"/>
                <w:lang w:val="en-US" w:eastAsia="zh-CN"/>
              </w:rPr>
              <w:t>.9</w:t>
            </w:r>
            <w:r>
              <w:rPr>
                <w:rFonts w:ascii="Times New Roman" w:hAnsi="Times New Roman" w:hint="eastAsia"/>
                <w:szCs w:val="21"/>
              </w:rPr>
              <w:t>杂散光：</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 1%</w:t>
            </w:r>
            <w:r>
              <w:rPr>
                <w:rFonts w:ascii="Times New Roman" w:hAnsi="Times New Roman" w:hint="eastAsia"/>
                <w:szCs w:val="21"/>
                <w:lang w:eastAsia="zh-CN"/>
              </w:rPr>
              <w:t>（</w:t>
            </w:r>
            <w:r>
              <w:rPr>
                <w:rFonts w:ascii="Times New Roman" w:hAnsi="Times New Roman" w:hint="eastAsia"/>
                <w:szCs w:val="21"/>
              </w:rPr>
              <w:t xml:space="preserve">198 nm </w:t>
            </w:r>
            <w:r>
              <w:rPr>
                <w:rFonts w:ascii="Times New Roman" w:hAnsi="Times New Roman" w:hint="eastAsia"/>
                <w:szCs w:val="21"/>
                <w:lang w:eastAsia="zh-CN"/>
              </w:rPr>
              <w:t>）</w:t>
            </w:r>
            <w:r>
              <w:rPr>
                <w:rFonts w:ascii="Times New Roman" w:hAnsi="Times New Roman" w:hint="eastAsia"/>
                <w:szCs w:val="21"/>
              </w:rPr>
              <w:t>；</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 0.05%</w:t>
            </w:r>
            <w:r>
              <w:rPr>
                <w:rFonts w:ascii="Times New Roman" w:hAnsi="Times New Roman" w:hint="eastAsia"/>
                <w:szCs w:val="21"/>
                <w:lang w:eastAsia="zh-CN"/>
              </w:rPr>
              <w:t>（</w:t>
            </w:r>
            <w:r>
              <w:rPr>
                <w:rFonts w:ascii="Times New Roman" w:hAnsi="Times New Roman" w:hint="eastAsia"/>
                <w:szCs w:val="21"/>
              </w:rPr>
              <w:t>220 nm</w:t>
            </w:r>
            <w:r>
              <w:rPr>
                <w:rFonts w:ascii="Times New Roman" w:hAnsi="Times New Roman" w:hint="eastAsia"/>
                <w:szCs w:val="21"/>
                <w:lang w:eastAsia="zh-CN"/>
              </w:rPr>
              <w:t>）</w:t>
            </w:r>
            <w:r>
              <w:rPr>
                <w:rFonts w:ascii="Times New Roman" w:hAnsi="Times New Roman" w:hint="eastAsia"/>
                <w:szCs w:val="21"/>
              </w:rPr>
              <w:t>；</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 1.0%</w:t>
            </w:r>
            <w:r>
              <w:rPr>
                <w:rFonts w:ascii="Times New Roman" w:hAnsi="Times New Roman" w:hint="eastAsia"/>
                <w:szCs w:val="21"/>
                <w:lang w:eastAsia="zh-CN"/>
              </w:rPr>
              <w:t>（</w:t>
            </w:r>
            <w:r>
              <w:rPr>
                <w:rFonts w:ascii="Times New Roman" w:hAnsi="Times New Roman" w:hint="eastAsia"/>
                <w:szCs w:val="21"/>
              </w:rPr>
              <w:t>300 nm</w:t>
            </w:r>
            <w:r>
              <w:rPr>
                <w:rFonts w:ascii="Times New Roman" w:hAnsi="Times New Roman" w:hint="eastAsia"/>
                <w:szCs w:val="21"/>
                <w:lang w:eastAsia="zh-CN"/>
              </w:rPr>
              <w:t>）</w:t>
            </w:r>
            <w:r>
              <w:rPr>
                <w:rFonts w:ascii="Times New Roman" w:hAnsi="Times New Roman" w:hint="eastAsia"/>
                <w:szCs w:val="21"/>
              </w:rPr>
              <w:t>；</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 0.05%</w:t>
            </w:r>
            <w:r>
              <w:rPr>
                <w:rFonts w:ascii="Times New Roman" w:hAnsi="Times New Roman" w:hint="eastAsia"/>
                <w:szCs w:val="21"/>
                <w:lang w:eastAsia="zh-CN"/>
              </w:rPr>
              <w:t>（</w:t>
            </w:r>
            <w:r>
              <w:rPr>
                <w:rFonts w:ascii="Times New Roman" w:hAnsi="Times New Roman" w:hint="eastAsia"/>
                <w:szCs w:val="21"/>
              </w:rPr>
              <w:t>340 nm</w:t>
            </w:r>
            <w:r>
              <w:rPr>
                <w:rFonts w:ascii="Times New Roman" w:hAnsi="Times New Roman" w:hint="eastAsia"/>
                <w:szCs w:val="21"/>
                <w:lang w:eastAsia="zh-CN"/>
              </w:rPr>
              <w:t>）</w:t>
            </w:r>
            <w:r>
              <w:rPr>
                <w:rFonts w:ascii="Times New Roman" w:hAnsi="Times New Roman" w:hint="eastAsia"/>
                <w:szCs w:val="21"/>
              </w:rPr>
              <w:t>；</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3</w:t>
            </w:r>
            <w:r>
              <w:rPr>
                <w:rFonts w:ascii="Times New Roman" w:hAnsi="Times New Roman" w:hint="eastAsia"/>
                <w:szCs w:val="21"/>
              </w:rPr>
              <w:t>.</w:t>
            </w:r>
            <w:r>
              <w:rPr>
                <w:rFonts w:ascii="Times New Roman" w:hAnsi="Times New Roman" w:hint="eastAsia"/>
                <w:szCs w:val="21"/>
                <w:lang w:val="en-US" w:eastAsia="zh-CN"/>
              </w:rPr>
              <w:t>10</w:t>
            </w:r>
            <w:r>
              <w:rPr>
                <w:rFonts w:ascii="Times New Roman" w:hAnsi="Times New Roman" w:hint="eastAsia"/>
                <w:szCs w:val="21"/>
              </w:rPr>
              <w:t>光度重现性 (Abs)：</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&lt; 0.004 Abs</w:t>
            </w:r>
            <w:r>
              <w:rPr>
                <w:rFonts w:ascii="Times New Roman" w:hAnsi="Times New Roman" w:hint="eastAsia"/>
                <w:szCs w:val="21"/>
                <w:lang w:val="en-US" w:eastAsia="zh-CN"/>
              </w:rPr>
              <w:t>（</w:t>
            </w:r>
            <w:r>
              <w:rPr>
                <w:rFonts w:ascii="Times New Roman" w:hAnsi="Times New Roman" w:hint="eastAsia"/>
                <w:szCs w:val="21"/>
              </w:rPr>
              <w:t>1 Abs 处最大偏差</w:t>
            </w:r>
            <w:r>
              <w:rPr>
                <w:rFonts w:ascii="Times New Roman" w:hAnsi="Times New Roman" w:hint="eastAsia"/>
                <w:szCs w:val="21"/>
                <w:lang w:val="en-US" w:eastAsia="zh-CN"/>
              </w:rPr>
              <w:t>）</w:t>
            </w:r>
            <w:r>
              <w:rPr>
                <w:rFonts w:ascii="Times New Roman" w:hAnsi="Times New Roman" w:hint="eastAsia"/>
                <w:szCs w:val="21"/>
              </w:rPr>
              <w:t>；</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&lt; 0.00050 Abs</w:t>
            </w:r>
            <w:r>
              <w:rPr>
                <w:rFonts w:ascii="Times New Roman" w:hAnsi="Times New Roman" w:hint="eastAsia"/>
                <w:szCs w:val="21"/>
                <w:lang w:val="en-US" w:eastAsia="zh-CN"/>
              </w:rPr>
              <w:t>（</w:t>
            </w:r>
            <w:r>
              <w:rPr>
                <w:rFonts w:ascii="Times New Roman" w:hAnsi="Times New Roman" w:hint="eastAsia"/>
                <w:szCs w:val="21"/>
              </w:rPr>
              <w:t>10 次测量标准偏差</w:t>
            </w:r>
            <w:r>
              <w:rPr>
                <w:rFonts w:ascii="Times New Roman" w:hAnsi="Times New Roman" w:hint="eastAsia"/>
                <w:szCs w:val="21"/>
                <w:lang w:val="en-US" w:eastAsia="zh-CN"/>
              </w:rPr>
              <w:t>）</w:t>
            </w:r>
            <w:r>
              <w:rPr>
                <w:rFonts w:ascii="Times New Roman" w:hAnsi="Times New Roman" w:hint="eastAsia"/>
                <w:szCs w:val="21"/>
              </w:rPr>
              <w:t>；</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&lt; 0.003 Abs</w:t>
            </w:r>
            <w:r>
              <w:rPr>
                <w:rFonts w:ascii="Times New Roman" w:hAnsi="Times New Roman" w:hint="eastAsia"/>
                <w:szCs w:val="21"/>
                <w:lang w:val="en-US" w:eastAsia="zh-CN"/>
              </w:rPr>
              <w:t>（</w:t>
            </w:r>
            <w:r>
              <w:rPr>
                <w:rFonts w:ascii="Times New Roman" w:hAnsi="Times New Roman" w:hint="eastAsia"/>
                <w:szCs w:val="21"/>
              </w:rPr>
              <w:t>0.5 Abs 处最大偏差</w:t>
            </w:r>
            <w:r>
              <w:rPr>
                <w:rFonts w:ascii="Times New Roman" w:hAnsi="Times New Roman" w:hint="eastAsia"/>
                <w:szCs w:val="21"/>
                <w:lang w:val="en-US" w:eastAsia="zh-CN"/>
              </w:rPr>
              <w:t>）</w:t>
            </w:r>
            <w:r>
              <w:rPr>
                <w:rFonts w:ascii="Times New Roman" w:hAnsi="Times New Roman" w:hint="eastAsia"/>
                <w:szCs w:val="21"/>
              </w:rPr>
              <w:t>；</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&lt; 0.0030 Abs</w:t>
            </w:r>
            <w:r>
              <w:rPr>
                <w:rFonts w:ascii="Times New Roman" w:hAnsi="Times New Roman" w:hint="eastAsia"/>
                <w:szCs w:val="21"/>
                <w:lang w:val="en-US" w:eastAsia="zh-CN"/>
              </w:rPr>
              <w:t>(</w:t>
            </w:r>
            <w:r>
              <w:rPr>
                <w:rFonts w:ascii="Times New Roman" w:hAnsi="Times New Roman" w:hint="eastAsia"/>
                <w:szCs w:val="21"/>
              </w:rPr>
              <w:t>10 次测量标准偏差</w:t>
            </w:r>
            <w:r>
              <w:rPr>
                <w:rFonts w:ascii="Times New Roman" w:hAnsi="Times New Roman" w:hint="eastAsia"/>
                <w:szCs w:val="21"/>
                <w:lang w:val="en-US" w:eastAsia="zh-CN"/>
              </w:rPr>
              <w:t>)</w:t>
            </w:r>
            <w:r>
              <w:rPr>
                <w:rFonts w:ascii="Times New Roman" w:hAnsi="Times New Roman" w:hint="eastAsia"/>
                <w:szCs w:val="21"/>
              </w:rPr>
              <w:t>；</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w:t>
            </w:r>
            <w:r>
              <w:rPr>
                <w:rFonts w:ascii="Times New Roman" w:hAnsi="Times New Roman"/>
                <w:szCs w:val="21"/>
                <w:lang w:val="en-US" w:eastAsia="zh-CN"/>
              </w:rPr>
              <w:t>3</w:t>
            </w:r>
            <w:r>
              <w:rPr>
                <w:rFonts w:ascii="Times New Roman" w:hAnsi="Times New Roman" w:hint="eastAsia"/>
                <w:szCs w:val="21"/>
              </w:rPr>
              <w:t>.</w:t>
            </w:r>
            <w:r>
              <w:rPr>
                <w:rFonts w:ascii="Times New Roman" w:hAnsi="Times New Roman" w:hint="eastAsia"/>
                <w:szCs w:val="21"/>
                <w:lang w:val="en-US" w:eastAsia="zh-CN"/>
              </w:rPr>
              <w:t>11</w:t>
            </w:r>
            <w:r>
              <w:rPr>
                <w:rFonts w:ascii="Times New Roman" w:hAnsi="Times New Roman" w:hint="eastAsia"/>
                <w:szCs w:val="21"/>
              </w:rPr>
              <w:t>光度噪音 (Abs，RMS)：</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&lt; 0.0001 Abs，在0 Abs 处；</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&lt; 0.0005 Abs，在1 Abs 处；</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&lt; 0.005 Abs，在2 Abs 处；</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lang w:val="en-US" w:eastAsia="zh-CN"/>
              </w:rPr>
              <w:t>★</w:t>
            </w:r>
            <w:r>
              <w:rPr>
                <w:rFonts w:ascii="Times New Roman" w:hAnsi="Times New Roman"/>
                <w:szCs w:val="21"/>
                <w:lang w:val="en-US" w:eastAsia="zh-CN"/>
              </w:rPr>
              <w:t>3</w:t>
            </w:r>
            <w:r>
              <w:rPr>
                <w:rFonts w:ascii="Times New Roman" w:hAnsi="Times New Roman" w:hint="eastAsia"/>
                <w:szCs w:val="21"/>
              </w:rPr>
              <w:t>.1</w:t>
            </w:r>
            <w:r>
              <w:rPr>
                <w:rFonts w:ascii="Times New Roman" w:hAnsi="Times New Roman" w:hint="eastAsia"/>
                <w:szCs w:val="21"/>
                <w:lang w:val="en-US" w:eastAsia="zh-CN"/>
              </w:rPr>
              <w:t>2</w:t>
            </w:r>
            <w:r>
              <w:rPr>
                <w:rFonts w:ascii="Times New Roman" w:hAnsi="Times New Roman" w:hint="eastAsia"/>
                <w:szCs w:val="21"/>
              </w:rPr>
              <w:t>光源 ：脉冲氙灯，10年质保；</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3</w:t>
            </w:r>
            <w:r>
              <w:rPr>
                <w:rFonts w:ascii="Times New Roman" w:hAnsi="Times New Roman" w:hint="eastAsia"/>
                <w:szCs w:val="21"/>
              </w:rPr>
              <w:t>.1</w:t>
            </w:r>
            <w:r>
              <w:rPr>
                <w:rFonts w:ascii="Times New Roman" w:hAnsi="Times New Roman" w:hint="eastAsia"/>
                <w:szCs w:val="21"/>
                <w:lang w:val="en-US" w:eastAsia="zh-CN"/>
              </w:rPr>
              <w:t>3</w:t>
            </w:r>
            <w:r>
              <w:rPr>
                <w:rFonts w:ascii="Times New Roman" w:hAnsi="Times New Roman" w:hint="eastAsia"/>
                <w:szCs w:val="21"/>
              </w:rPr>
              <w:t>稳定性: ≤0.0004A；</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3</w:t>
            </w:r>
            <w:r>
              <w:rPr>
                <w:rFonts w:ascii="Times New Roman" w:hAnsi="Times New Roman" w:hint="eastAsia"/>
                <w:szCs w:val="21"/>
              </w:rPr>
              <w:t>.1</w:t>
            </w:r>
            <w:r>
              <w:rPr>
                <w:rFonts w:ascii="Times New Roman" w:hAnsi="Times New Roman" w:hint="eastAsia"/>
                <w:szCs w:val="21"/>
                <w:lang w:val="en-US" w:eastAsia="zh-CN"/>
              </w:rPr>
              <w:t>4</w:t>
            </w:r>
            <w:r>
              <w:rPr>
                <w:rFonts w:ascii="Times New Roman" w:hAnsi="Times New Roman" w:hint="eastAsia"/>
                <w:szCs w:val="21"/>
              </w:rPr>
              <w:t>分光系统：斩波器</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3</w:t>
            </w:r>
            <w:r>
              <w:rPr>
                <w:rFonts w:ascii="Times New Roman" w:hAnsi="Times New Roman" w:hint="eastAsia"/>
                <w:szCs w:val="21"/>
              </w:rPr>
              <w:t>.1</w:t>
            </w:r>
            <w:r>
              <w:rPr>
                <w:rFonts w:ascii="Times New Roman" w:hAnsi="Times New Roman" w:hint="eastAsia"/>
                <w:szCs w:val="21"/>
                <w:lang w:val="en-US" w:eastAsia="zh-CN"/>
              </w:rPr>
              <w:t>5</w:t>
            </w:r>
            <w:r>
              <w:rPr>
                <w:rFonts w:ascii="Times New Roman" w:hAnsi="Times New Roman" w:hint="eastAsia"/>
                <w:szCs w:val="21"/>
              </w:rPr>
              <w:t>检测器：≥2个硅二极管检测器，可同时测量样品光束和参比光束；</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w:t>
            </w:r>
            <w:r>
              <w:rPr>
                <w:rFonts w:ascii="Times New Roman" w:hAnsi="Times New Roman"/>
                <w:szCs w:val="21"/>
                <w:lang w:val="en-US" w:eastAsia="zh-CN"/>
              </w:rPr>
              <w:t>3</w:t>
            </w:r>
            <w:r>
              <w:rPr>
                <w:rFonts w:ascii="Times New Roman" w:hAnsi="Times New Roman" w:hint="eastAsia"/>
                <w:szCs w:val="21"/>
              </w:rPr>
              <w:t>.1</w:t>
            </w:r>
            <w:r>
              <w:rPr>
                <w:rFonts w:ascii="Times New Roman" w:hAnsi="Times New Roman" w:hint="eastAsia"/>
                <w:szCs w:val="21"/>
                <w:lang w:val="en-US" w:eastAsia="zh-CN"/>
              </w:rPr>
              <w:t>6</w:t>
            </w:r>
            <w:r>
              <w:rPr>
                <w:rFonts w:ascii="Times New Roman" w:hAnsi="Times New Roman" w:hint="eastAsia"/>
                <w:szCs w:val="21"/>
              </w:rPr>
              <w:t>扫描速率：</w:t>
            </w:r>
            <w:r>
              <w:rPr>
                <w:rFonts w:ascii="Times New Roman" w:hAnsi="Times New Roman" w:hint="eastAsia"/>
                <w:szCs w:val="21"/>
                <w:lang w:val="en-US" w:eastAsia="zh-CN"/>
              </w:rPr>
              <w:t>最高</w:t>
            </w:r>
            <w:r>
              <w:rPr>
                <w:rFonts w:ascii="Times New Roman" w:hAnsi="Times New Roman" w:hint="eastAsia"/>
                <w:szCs w:val="21"/>
              </w:rPr>
              <w:t>24000 nm/min，</w:t>
            </w:r>
            <w:r>
              <w:rPr>
                <w:rFonts w:ascii="Times New Roman" w:hAnsi="Times New Roman" w:hint="eastAsia"/>
                <w:szCs w:val="21"/>
                <w:lang w:val="en-US" w:eastAsia="zh-CN"/>
              </w:rPr>
              <w:t>190-1100nm全程扫描＜3S</w:t>
            </w:r>
            <w:r>
              <w:rPr>
                <w:rFonts w:ascii="Times New Roman" w:hAnsi="Times New Roman" w:hint="eastAsia"/>
                <w:szCs w:val="21"/>
              </w:rPr>
              <w:t>。</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3</w:t>
            </w:r>
            <w:r>
              <w:rPr>
                <w:rFonts w:ascii="Times New Roman" w:hAnsi="Times New Roman" w:hint="eastAsia"/>
                <w:szCs w:val="21"/>
              </w:rPr>
              <w:t>.1</w:t>
            </w:r>
            <w:r>
              <w:rPr>
                <w:rFonts w:ascii="Times New Roman" w:hAnsi="Times New Roman" w:hint="eastAsia"/>
                <w:szCs w:val="21"/>
                <w:lang w:val="en-US" w:eastAsia="zh-CN"/>
              </w:rPr>
              <w:t>7数据采集速率：</w:t>
            </w:r>
            <w:r>
              <w:rPr>
                <w:rFonts w:ascii="Times New Roman" w:hAnsi="Times New Roman" w:hint="eastAsia"/>
                <w:szCs w:val="21"/>
              </w:rPr>
              <w:t>≥80 个数据点/秒，</w:t>
            </w:r>
            <w:r>
              <w:rPr>
                <w:rFonts w:ascii="Times New Roman" w:hAnsi="Times New Roman" w:hint="eastAsia"/>
                <w:szCs w:val="21"/>
                <w:lang w:val="en-US" w:eastAsia="zh-CN"/>
              </w:rPr>
              <w:t>适用于快速动力学</w:t>
            </w:r>
            <w:r>
              <w:rPr>
                <w:rFonts w:ascii="Times New Roman" w:hAnsi="Times New Roman" w:hint="eastAsia"/>
                <w:szCs w:val="21"/>
              </w:rPr>
              <w:t>；</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w:t>
            </w:r>
            <w:r>
              <w:rPr>
                <w:rFonts w:ascii="Times New Roman" w:hAnsi="Times New Roman"/>
                <w:szCs w:val="21"/>
                <w:lang w:val="en-US" w:eastAsia="zh-CN"/>
              </w:rPr>
              <w:t>3</w:t>
            </w:r>
            <w:r>
              <w:rPr>
                <w:rFonts w:ascii="Times New Roman" w:hAnsi="Times New Roman" w:hint="eastAsia"/>
                <w:szCs w:val="21"/>
              </w:rPr>
              <w:t>.1</w:t>
            </w:r>
            <w:r>
              <w:rPr>
                <w:rFonts w:ascii="Times New Roman" w:hAnsi="Times New Roman" w:hint="eastAsia"/>
                <w:szCs w:val="21"/>
                <w:lang w:val="en-US" w:eastAsia="zh-CN"/>
              </w:rPr>
              <w:t>8室光免疫：</w:t>
            </w:r>
            <w:r>
              <w:rPr>
                <w:rFonts w:ascii="Times New Roman" w:hAnsi="Times New Roman" w:hint="eastAsia"/>
                <w:szCs w:val="21"/>
              </w:rPr>
              <w:t>样品室盖打开时也能准确测量样品</w:t>
            </w:r>
            <w:r>
              <w:rPr>
                <w:rFonts w:ascii="Times New Roman" w:hAnsi="Times New Roman" w:hint="eastAsia"/>
                <w:szCs w:val="21"/>
                <w:lang w:eastAsia="zh-CN"/>
              </w:rPr>
              <w:t>，</w:t>
            </w:r>
            <w:r>
              <w:rPr>
                <w:rFonts w:ascii="Times New Roman" w:hAnsi="Times New Roman" w:hint="eastAsia"/>
                <w:szCs w:val="21"/>
                <w:lang w:val="en-US" w:eastAsia="zh-CN"/>
              </w:rPr>
              <w:t>无需避光操作</w:t>
            </w:r>
            <w:r>
              <w:rPr>
                <w:rFonts w:ascii="Times New Roman" w:hAnsi="Times New Roman"/>
                <w:szCs w:val="21"/>
              </w:rPr>
              <w:t>；</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hint="eastAsia"/>
                <w:szCs w:val="21"/>
              </w:rPr>
              <w:t>▲</w:t>
            </w:r>
            <w:r>
              <w:rPr>
                <w:rFonts w:ascii="Times New Roman" w:hAnsi="Times New Roman"/>
                <w:szCs w:val="21"/>
                <w:lang w:val="en-US" w:eastAsia="zh-CN"/>
              </w:rPr>
              <w:t>3</w:t>
            </w:r>
            <w:r>
              <w:rPr>
                <w:rFonts w:ascii="Times New Roman" w:hAnsi="Times New Roman" w:hint="eastAsia"/>
                <w:szCs w:val="21"/>
              </w:rPr>
              <w:t>.1</w:t>
            </w:r>
            <w:r>
              <w:rPr>
                <w:rFonts w:ascii="Times New Roman" w:hAnsi="Times New Roman" w:hint="eastAsia"/>
                <w:szCs w:val="21"/>
                <w:lang w:val="en-US" w:eastAsia="zh-CN"/>
              </w:rPr>
              <w:t>9微量测试：光束聚焦直径≤1mm，可直接测</w:t>
            </w:r>
            <w:r>
              <w:rPr>
                <w:rFonts w:ascii="Times New Roman" w:hAnsi="Times New Roman" w:hint="eastAsia"/>
                <w:szCs w:val="21"/>
              </w:rPr>
              <w:t>5μL样品；</w:t>
            </w:r>
          </w:p>
          <w:p>
            <w:pPr>
              <w:pStyle w:val="81"/>
              <w:pageBreakBefore w:val="0"/>
              <w:widowControl w:val="0"/>
              <w:kinsoku/>
              <w:wordWrap/>
              <w:overflowPunct/>
              <w:topLinePunct w:val="0"/>
              <w:autoSpaceDE/>
              <w:autoSpaceDN/>
              <w:bidi w:val="0"/>
              <w:adjustRightInd w:val="0"/>
              <w:snapToGrid w:val="0"/>
              <w:rPr>
                <w:rFonts w:ascii="Times New Roman" w:hAnsi="Times New Roman"/>
                <w:szCs w:val="21"/>
                <w:lang w:val="en-US" w:eastAsia="zh-CN"/>
              </w:rPr>
            </w:pPr>
            <w:r>
              <w:rPr>
                <w:rFonts w:ascii="Times New Roman" w:hAnsi="Times New Roman"/>
                <w:szCs w:val="21"/>
                <w:lang w:val="en-US" w:eastAsia="zh-CN"/>
              </w:rPr>
              <w:t>3</w:t>
            </w:r>
            <w:r>
              <w:rPr>
                <w:rFonts w:ascii="Times New Roman" w:hAnsi="Times New Roman" w:hint="eastAsia"/>
                <w:szCs w:val="21"/>
              </w:rPr>
              <w:t>.</w:t>
            </w:r>
            <w:r>
              <w:rPr>
                <w:rFonts w:ascii="Times New Roman" w:hAnsi="Times New Roman" w:hint="eastAsia"/>
                <w:szCs w:val="21"/>
                <w:lang w:val="en-US" w:eastAsia="zh-CN"/>
              </w:rPr>
              <w:t>20</w:t>
            </w:r>
            <w:r>
              <w:rPr>
                <w:rFonts w:ascii="Times New Roman" w:hAnsi="Times New Roman" w:hint="eastAsia"/>
                <w:szCs w:val="21"/>
              </w:rPr>
              <w:t>通讯接口：USB</w:t>
            </w:r>
            <w:r>
              <w:rPr>
                <w:rFonts w:ascii="Times New Roman" w:hAnsi="Times New Roman" w:hint="eastAsia"/>
                <w:szCs w:val="21"/>
                <w:lang w:val="en-US" w:eastAsia="zh-CN"/>
              </w:rPr>
              <w:t>2.0</w:t>
            </w:r>
            <w:r>
              <w:rPr>
                <w:rFonts w:ascii="Times New Roman" w:hAnsi="Times New Roman" w:hint="eastAsia"/>
                <w:szCs w:val="21"/>
              </w:rPr>
              <w:t>接口</w:t>
            </w:r>
            <w:r>
              <w:rPr>
                <w:rFonts w:ascii="Times New Roman" w:hAnsi="Times New Roman" w:hint="eastAsia"/>
                <w:szCs w:val="21"/>
                <w:lang w:eastAsia="zh-CN"/>
              </w:rPr>
              <w:t>，</w:t>
            </w:r>
            <w:r>
              <w:rPr>
                <w:rFonts w:ascii="Times New Roman" w:hAnsi="Times New Roman" w:hint="eastAsia"/>
                <w:szCs w:val="21"/>
                <w:lang w:val="en-US" w:eastAsia="zh-CN"/>
              </w:rPr>
              <w:t>即插即用；</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3</w:t>
            </w:r>
            <w:r>
              <w:rPr>
                <w:rFonts w:ascii="Times New Roman" w:hAnsi="Times New Roman" w:hint="eastAsia"/>
                <w:szCs w:val="21"/>
                <w:lang w:val="en-US" w:eastAsia="zh-CN"/>
              </w:rPr>
              <w:t>.21</w:t>
            </w:r>
            <w:r>
              <w:rPr>
                <w:rFonts w:ascii="Times New Roman" w:hAnsi="Times New Roman" w:hint="eastAsia"/>
                <w:szCs w:val="21"/>
              </w:rPr>
              <w:t>控制软件：PC机、</w:t>
            </w:r>
            <w:r>
              <w:rPr>
                <w:rFonts w:ascii="Times New Roman" w:hAnsi="Times New Roman" w:hint="eastAsia"/>
                <w:szCs w:val="21"/>
                <w:lang w:val="en-US" w:eastAsia="zh-CN"/>
              </w:rPr>
              <w:t>正版</w:t>
            </w:r>
            <w:r>
              <w:rPr>
                <w:rFonts w:ascii="Times New Roman" w:hAnsi="Times New Roman" w:hint="eastAsia"/>
                <w:szCs w:val="21"/>
              </w:rPr>
              <w:t>windows10</w:t>
            </w:r>
            <w:r>
              <w:rPr>
                <w:rFonts w:ascii="Times New Roman" w:hAnsi="Times New Roman" w:hint="eastAsia"/>
                <w:szCs w:val="21"/>
                <w:lang w:val="en-US" w:eastAsia="zh-CN"/>
              </w:rPr>
              <w:t>或</w:t>
            </w:r>
            <w:r>
              <w:rPr>
                <w:rFonts w:ascii="Times New Roman" w:hAnsi="Times New Roman" w:hint="eastAsia"/>
                <w:szCs w:val="21"/>
              </w:rPr>
              <w:t>windows11；</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3</w:t>
            </w:r>
            <w:r>
              <w:rPr>
                <w:rFonts w:ascii="Times New Roman" w:hAnsi="Times New Roman" w:hint="eastAsia"/>
                <w:szCs w:val="21"/>
                <w:lang w:val="en-US" w:eastAsia="zh-CN"/>
              </w:rPr>
              <w:t>.22</w:t>
            </w:r>
            <w:r>
              <w:rPr>
                <w:rFonts w:ascii="Times New Roman" w:hAnsi="Times New Roman" w:hint="eastAsia"/>
                <w:szCs w:val="21"/>
              </w:rPr>
              <w:t>电源：交流 100–240 V，频率47–63 Hz；</w:t>
            </w:r>
          </w:p>
          <w:p>
            <w:pPr>
              <w:pStyle w:val="81"/>
              <w:pageBreakBefore w:val="0"/>
              <w:widowControl w:val="0"/>
              <w:kinsoku/>
              <w:wordWrap/>
              <w:overflowPunct/>
              <w:topLinePunct w:val="0"/>
              <w:autoSpaceDE/>
              <w:autoSpaceDN/>
              <w:bidi w:val="0"/>
              <w:adjustRightInd w:val="0"/>
              <w:snapToGrid w:val="0"/>
              <w:rPr>
                <w:rFonts w:ascii="Times New Roman" w:hAnsi="Times New Roman"/>
                <w:szCs w:val="21"/>
                <w:lang w:val="en-US" w:eastAsia="zh-CN"/>
              </w:rPr>
            </w:pPr>
            <w:r>
              <w:rPr>
                <w:rFonts w:ascii="Times New Roman" w:hAnsi="Times New Roman"/>
                <w:szCs w:val="21"/>
                <w:lang w:val="en-US" w:eastAsia="zh-CN"/>
              </w:rPr>
              <w:t>3</w:t>
            </w:r>
            <w:r>
              <w:rPr>
                <w:rFonts w:ascii="Times New Roman" w:hAnsi="Times New Roman" w:hint="eastAsia"/>
                <w:szCs w:val="21"/>
              </w:rPr>
              <w:t>.2</w:t>
            </w:r>
            <w:r>
              <w:rPr>
                <w:rFonts w:ascii="Times New Roman" w:hAnsi="Times New Roman" w:hint="eastAsia"/>
                <w:szCs w:val="21"/>
                <w:lang w:val="en-US" w:eastAsia="zh-CN"/>
              </w:rPr>
              <w:t>3仪器重量：≤20kg</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3</w:t>
            </w:r>
            <w:r>
              <w:rPr>
                <w:rFonts w:ascii="Times New Roman" w:hAnsi="Times New Roman" w:hint="eastAsia"/>
                <w:szCs w:val="21"/>
              </w:rPr>
              <w:t>.24 具有有效的中华人民共和国计量器具型式批准证书；</w:t>
            </w:r>
          </w:p>
          <w:p>
            <w:pPr>
              <w:pStyle w:val="81"/>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3</w:t>
            </w:r>
            <w:r>
              <w:rPr>
                <w:rFonts w:ascii="Times New Roman" w:hAnsi="Times New Roman" w:hint="eastAsia"/>
                <w:szCs w:val="21"/>
                <w:lang w:val="en-US" w:eastAsia="zh-CN"/>
              </w:rPr>
              <w:t>.25</w:t>
            </w:r>
            <w:r>
              <w:rPr>
                <w:rFonts w:ascii="Times New Roman" w:hAnsi="Times New Roman" w:hint="eastAsia"/>
                <w:szCs w:val="21"/>
              </w:rPr>
              <w:t>系统控制软件</w:t>
            </w:r>
          </w:p>
          <w:p>
            <w:pPr>
              <w:pStyle w:val="81"/>
              <w:pageBreakBefore w:val="0"/>
              <w:widowControl w:val="0"/>
              <w:kinsoku/>
              <w:wordWrap/>
              <w:overflowPunct/>
              <w:topLinePunct w:val="0"/>
              <w:autoSpaceDE/>
              <w:autoSpaceDN/>
              <w:adjustRightInd w:val="0"/>
              <w:snapToGrid w:val="0"/>
              <w:ind w:firstLineChars="200" w:firstLine="420"/>
              <w:rPr>
                <w:rFonts w:ascii="Times New Roman" w:hAnsi="Times New Roman" w:hint="eastAsia"/>
                <w:szCs w:val="21"/>
              </w:rPr>
            </w:pPr>
            <w:r>
              <w:rPr>
                <w:rFonts w:ascii="Times New Roman" w:hAnsi="Times New Roman" w:hint="eastAsia"/>
                <w:szCs w:val="21"/>
              </w:rPr>
              <w:t>用户可以自行选择中文软件或者英文软件，适用于Win10 64位操作系统，具有波长扫描、浓度测试、动力学、扫描动力学以及仪器校准、性能认证等功能。</w:t>
            </w:r>
            <w:r>
              <w:rPr>
                <w:rFonts w:ascii="Times New Roman" w:hAnsi="Times New Roman" w:hint="eastAsia"/>
                <w:szCs w:val="21"/>
                <w:lang w:val="en-US" w:eastAsia="zh-CN"/>
              </w:rPr>
              <w:t>可</w:t>
            </w:r>
            <w:r>
              <w:rPr>
                <w:rFonts w:ascii="Times New Roman" w:hAnsi="Times New Roman" w:hint="eastAsia"/>
                <w:szCs w:val="21"/>
              </w:rPr>
              <w:t>定期运行性能认证模块，验证仪器是否处于正常状态。</w:t>
            </w:r>
          </w:p>
        </w:tc>
        <w:tc>
          <w:tcPr>
            <w:tcW w:w="2339" w:type="dxa"/>
            <w:tcBorders>
              <w:tl2br w:val="nil"/>
              <w:tr2bl w:val="nil"/>
            </w:tcBorders>
            <w:shd w:val="clear" w:color="auto" w:fill="auto"/>
            <w:noWrap/>
            <w:vAlign w:val="center"/>
          </w:tcPr>
          <w:p>
            <w:pPr>
              <w:pStyle w:val="63"/>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4</w:t>
            </w:r>
            <w:r>
              <w:rPr>
                <w:rFonts w:ascii="Times New Roman" w:hAnsi="Times New Roman" w:hint="eastAsia"/>
                <w:szCs w:val="21"/>
              </w:rPr>
              <w:t>.1 紫外分光光度计 主机 1台；</w:t>
            </w:r>
          </w:p>
          <w:p>
            <w:pPr>
              <w:pStyle w:val="63"/>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4</w:t>
            </w:r>
            <w:r>
              <w:rPr>
                <w:rFonts w:ascii="Times New Roman" w:hAnsi="Times New Roman" w:hint="eastAsia"/>
                <w:szCs w:val="21"/>
              </w:rPr>
              <w:t>.2 光程1cm石英比色池5对；</w:t>
            </w:r>
          </w:p>
          <w:p>
            <w:pPr>
              <w:pStyle w:val="63"/>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4</w:t>
            </w:r>
            <w:r>
              <w:rPr>
                <w:rFonts w:ascii="Times New Roman" w:hAnsi="Times New Roman" w:hint="eastAsia"/>
                <w:szCs w:val="21"/>
              </w:rPr>
              <w:t>.3光程20mm比色皿，5对；</w:t>
            </w:r>
          </w:p>
          <w:p>
            <w:pPr>
              <w:pStyle w:val="63"/>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4</w:t>
            </w:r>
            <w:r>
              <w:rPr>
                <w:rFonts w:ascii="Times New Roman" w:hAnsi="Times New Roman" w:hint="eastAsia"/>
                <w:szCs w:val="21"/>
              </w:rPr>
              <w:t>.4长光程比色皿支架，1个；</w:t>
            </w:r>
          </w:p>
          <w:p>
            <w:pPr>
              <w:pStyle w:val="63"/>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4</w:t>
            </w:r>
            <w:r>
              <w:rPr>
                <w:rFonts w:ascii="Times New Roman" w:hAnsi="Times New Roman" w:hint="eastAsia"/>
                <w:szCs w:val="21"/>
              </w:rPr>
              <w:t>.5 扩展样品室18联池支架，1个</w:t>
            </w:r>
          </w:p>
          <w:p>
            <w:pPr>
              <w:pStyle w:val="63"/>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rPr>
              <w:t>4</w:t>
            </w:r>
            <w:r>
              <w:rPr>
                <w:rFonts w:ascii="Times New Roman" w:hAnsi="Times New Roman" w:hint="eastAsia"/>
                <w:szCs w:val="21"/>
              </w:rPr>
              <w:t>.6</w:t>
            </w:r>
            <w:r>
              <w:rPr>
                <w:rFonts w:ascii="Times New Roman" w:hAnsi="Times New Roman" w:hint="eastAsia"/>
                <w:szCs w:val="21"/>
                <w:lang w:val="en-US" w:eastAsia="zh-CN"/>
              </w:rPr>
              <w:t xml:space="preserve"> </w:t>
            </w:r>
            <w:r>
              <w:rPr>
                <w:rFonts w:ascii="Times New Roman" w:hAnsi="Times New Roman" w:hint="eastAsia"/>
                <w:szCs w:val="21"/>
              </w:rPr>
              <w:t>微量池1套；</w:t>
            </w:r>
          </w:p>
          <w:p>
            <w:pPr>
              <w:pStyle w:val="63"/>
              <w:pageBreakBefore w:val="0"/>
              <w:widowControl w:val="0"/>
              <w:kinsoku/>
              <w:wordWrap/>
              <w:overflowPunct/>
              <w:topLinePunct w:val="0"/>
              <w:autoSpaceDE/>
              <w:autoSpaceDN/>
              <w:bidi w:val="0"/>
              <w:adjustRightInd w:val="0"/>
              <w:snapToGrid w:val="0"/>
              <w:rPr>
                <w:rFonts w:ascii="Times New Roman" w:hAnsi="Times New Roman" w:hint="eastAsia"/>
                <w:szCs w:val="21"/>
                <w:lang w:val="en-US"/>
              </w:rPr>
            </w:pPr>
            <w:r>
              <w:rPr>
                <w:rFonts w:ascii="Times New Roman" w:hAnsi="Times New Roman"/>
                <w:szCs w:val="21"/>
              </w:rPr>
              <w:t>4</w:t>
            </w:r>
            <w:r>
              <w:rPr>
                <w:rFonts w:ascii="Times New Roman" w:hAnsi="Times New Roman" w:hint="eastAsia"/>
                <w:szCs w:val="21"/>
              </w:rPr>
              <w:t>.7</w:t>
            </w:r>
            <w:r>
              <w:rPr>
                <w:rFonts w:ascii="Times New Roman" w:hAnsi="Times New Roman" w:hint="eastAsia"/>
                <w:szCs w:val="21"/>
                <w:lang w:eastAsia="zh-CN"/>
              </w:rPr>
              <w:t>控温架</w:t>
            </w:r>
            <w:r>
              <w:rPr>
                <w:rFonts w:ascii="Times New Roman" w:hAnsi="Times New Roman" w:hint="eastAsia"/>
                <w:szCs w:val="21"/>
                <w:lang w:val="en-US" w:eastAsia="zh-CN"/>
              </w:rPr>
              <w:t>1套；</w:t>
            </w:r>
          </w:p>
          <w:p>
            <w:pPr>
              <w:pStyle w:val="63"/>
              <w:pageBreakBefore w:val="0"/>
              <w:widowControl w:val="0"/>
              <w:kinsoku/>
              <w:wordWrap/>
              <w:overflowPunct/>
              <w:topLinePunct w:val="0"/>
              <w:autoSpaceDE/>
              <w:autoSpaceDN/>
              <w:bidi w:val="0"/>
              <w:adjustRightInd w:val="0"/>
              <w:snapToGrid w:val="0"/>
              <w:rPr>
                <w:rFonts w:ascii="Times New Roman" w:hAnsi="Times New Roman" w:hint="eastAsia"/>
                <w:szCs w:val="21"/>
              </w:rPr>
            </w:pPr>
            <w:r>
              <w:rPr>
                <w:rFonts w:ascii="Times New Roman" w:hAnsi="Times New Roman"/>
                <w:szCs w:val="21"/>
                <w:lang w:val="en-US" w:eastAsia="zh-CN"/>
              </w:rPr>
              <w:t>4</w:t>
            </w:r>
            <w:r>
              <w:rPr>
                <w:rFonts w:ascii="Times New Roman" w:hAnsi="Times New Roman" w:hint="eastAsia"/>
                <w:szCs w:val="21"/>
                <w:lang w:val="en-US" w:eastAsia="zh-CN"/>
              </w:rPr>
              <w:t>.8</w:t>
            </w:r>
            <w:r>
              <w:rPr>
                <w:rFonts w:ascii="Times New Roman" w:hAnsi="Times New Roman" w:hint="eastAsia"/>
                <w:szCs w:val="21"/>
              </w:rPr>
              <w:t>软件工作站1套；</w:t>
            </w:r>
          </w:p>
          <w:p>
            <w:pPr>
              <w:pStyle w:val="63"/>
              <w:adjustRightInd w:val="0"/>
              <w:snapToGrid w:val="0"/>
              <w:rPr>
                <w:rFonts w:ascii="Times New Roman" w:hAnsi="Times New Roman" w:hint="eastAsia"/>
                <w:szCs w:val="21"/>
              </w:rPr>
            </w:pPr>
            <w:r>
              <w:rPr>
                <w:rFonts w:ascii="Times New Roman" w:hAnsi="Times New Roman"/>
                <w:szCs w:val="21"/>
              </w:rPr>
              <w:t>4</w:t>
            </w:r>
            <w:r>
              <w:rPr>
                <w:rFonts w:ascii="Times New Roman" w:hAnsi="Times New Roman" w:hint="eastAsia"/>
                <w:szCs w:val="21"/>
              </w:rPr>
              <w:t>.</w:t>
            </w:r>
            <w:r>
              <w:rPr>
                <w:rFonts w:ascii="Times New Roman" w:hAnsi="Times New Roman" w:hint="eastAsia"/>
                <w:szCs w:val="21"/>
                <w:lang w:val="en-US" w:eastAsia="zh-CN"/>
              </w:rPr>
              <w:t>9</w:t>
            </w:r>
            <w:r>
              <w:rPr>
                <w:rFonts w:ascii="Times New Roman" w:hAnsi="Times New Roman"/>
                <w:szCs w:val="21"/>
                <w:lang w:val="en-US" w:eastAsia="zh-CN"/>
              </w:rPr>
              <w:t>仪器设备控制</w:t>
            </w:r>
            <w:r>
              <w:rPr>
                <w:rFonts w:ascii="Times New Roman" w:hAnsi="Times New Roman" w:hint="eastAsia"/>
                <w:szCs w:val="21"/>
              </w:rPr>
              <w:t>工作站</w:t>
            </w:r>
            <w:r>
              <w:rPr>
                <w:rFonts w:ascii="Times New Roman" w:hAnsi="Times New Roman"/>
                <w:szCs w:val="21"/>
              </w:rPr>
              <w:t>硬件</w:t>
            </w:r>
            <w:r>
              <w:rPr>
                <w:rFonts w:ascii="Times New Roman" w:hAnsi="Times New Roman" w:hint="eastAsia"/>
                <w:szCs w:val="21"/>
              </w:rPr>
              <w:t>1套</w:t>
            </w:r>
            <w:r>
              <w:rPr>
                <w:rFonts w:ascii="Times New Roman" w:hAnsi="Times New Roman" w:hint="eastAsia"/>
                <w:szCs w:val="21"/>
                <w:lang w:eastAsia="zh-CN"/>
              </w:rPr>
              <w:t>（</w:t>
            </w:r>
            <w:r>
              <w:rPr>
                <w:rFonts w:ascii="Times New Roman" w:hAnsi="Times New Roman" w:hint="eastAsia"/>
                <w:szCs w:val="21"/>
              </w:rPr>
              <w:t>windows10</w:t>
            </w:r>
            <w:r>
              <w:rPr>
                <w:rFonts w:ascii="Times New Roman" w:hAnsi="Times New Roman" w:hint="eastAsia"/>
                <w:szCs w:val="21"/>
                <w:lang w:eastAsia="zh-CN"/>
              </w:rPr>
              <w:t>及以上，处理器</w:t>
            </w:r>
            <w:r>
              <w:rPr>
                <w:rFonts w:ascii="Times New Roman" w:hAnsi="Times New Roman" w:hint="eastAsia"/>
                <w:szCs w:val="21"/>
                <w:lang w:val="en-US" w:eastAsia="zh-CN"/>
              </w:rPr>
              <w:t>14代i5-14400或以上，运行内存16G或以上，硬盘1TSSD或以上，显示器：27寸或以上</w:t>
            </w:r>
            <w:r>
              <w:rPr>
                <w:rFonts w:ascii="Times New Roman" w:hAnsi="Times New Roman"/>
                <w:szCs w:val="21"/>
                <w:lang w:val="en-US" w:eastAsia="zh-CN"/>
              </w:rPr>
              <w:t>，</w:t>
            </w:r>
            <w:r>
              <w:rPr>
                <w:rFonts w:ascii="Times New Roman" w:hAnsi="Times New Roman" w:hint="eastAsia"/>
                <w:szCs w:val="21"/>
                <w:lang w:val="en-US" w:eastAsia="zh-CN"/>
              </w:rPr>
              <w:t>配</w:t>
            </w:r>
          </w:p>
        </w:tc>
      </w:tr>
      <w:tr>
        <w:trPr>
          <w:trHeight w:val="283"/>
        </w:trPr>
        <w:tc>
          <w:tcPr>
            <w:tcW w:w="9179" w:type="dxa"/>
            <w:gridSpan w:val="6"/>
            <w:tcBorders>
              <w:tl2br w:val="nil"/>
              <w:tr2bl w:val="nil"/>
            </w:tcBorders>
            <w:shd w:val="clear" w:color="auto" w:fill="auto"/>
            <w:noWrap/>
            <w:vAlign w:val="center"/>
          </w:tcPr>
          <w:p>
            <w:pPr>
              <w:pStyle w:val="48"/>
              <w:widowControl/>
              <w:jc w:val="left"/>
              <w:textAlignment w:val="center"/>
              <w:rPr>
                <w:rFonts w:ascii="Times New Roman" w:cs="宋体" w:hAnsi="Times New Roman" w:hint="eastAsia"/>
                <w:b/>
                <w:bCs/>
                <w:color w:val="000000"/>
                <w:szCs w:val="21"/>
                <w:lang w:bidi="ar-SA"/>
              </w:rPr>
            </w:pPr>
            <w:r>
              <w:rPr>
                <w:rFonts w:ascii="Times New Roman" w:cs="宋体" w:hAnsi="Times New Roman"/>
                <w:b/>
                <w:bCs/>
                <w:color w:val="000000"/>
                <w:szCs w:val="21"/>
                <w:lang w:bidi="ar-SA"/>
              </w:rPr>
              <w:t>二、商务要求</w:t>
            </w:r>
          </w:p>
        </w:tc>
      </w:tr>
      <w:tr>
        <w:trPr>
          <w:trHeight w:val="283"/>
        </w:trPr>
        <w:tc>
          <w:tcPr>
            <w:tcW w:w="9179" w:type="dxa"/>
            <w:gridSpan w:val="6"/>
            <w:tcBorders>
              <w:tl2br w:val="nil"/>
              <w:tr2bl w:val="nil"/>
            </w:tcBorders>
            <w:shd w:val="clear" w:color="auto" w:fill="auto"/>
            <w:noWrap/>
            <w:vAlign w:val="center"/>
          </w:tcPr>
          <w:p>
            <w:pPr>
              <w:pStyle w:val="43"/>
              <w:pageBreakBefore w:val="0"/>
              <w:widowControl/>
              <w:kinsoku/>
              <w:wordWrap/>
              <w:overflowPunct/>
              <w:topLinePunct w:val="0"/>
              <w:autoSpaceDE/>
              <w:autoSpaceDN/>
              <w:adjustRightInd w:val="0"/>
              <w:snapToGrid w:val="0"/>
              <w:ind w:left="0" w:firstLine="449"/>
              <w:jc w:val="left"/>
              <w:textAlignment w:val="center"/>
              <w:rPr>
                <w:rFonts w:ascii="Times New Roman" w:cs="宋体" w:hAnsi="Times New Roman" w:hint="eastAsia"/>
                <w:b/>
                <w:bCs/>
                <w:color w:val="000000"/>
                <w:szCs w:val="21"/>
              </w:rPr>
            </w:pPr>
            <w:r>
              <w:rPr>
                <w:rFonts w:ascii="Times New Roman" w:cs="宋体" w:hAnsi="Times New Roman"/>
                <w:b/>
                <w:bCs/>
                <w:color w:val="000000"/>
                <w:szCs w:val="21"/>
              </w:rPr>
              <w:t>1、</w:t>
            </w:r>
            <w:r>
              <w:rPr>
                <w:rFonts w:ascii="Times New Roman" w:cs="宋体" w:hAnsi="Times New Roman" w:hint="eastAsia"/>
                <w:b/>
                <w:bCs/>
                <w:color w:val="000000"/>
                <w:szCs w:val="21"/>
              </w:rPr>
              <w:t>合同签订时间</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Cs/>
                <w:color w:val="000000"/>
                <w:szCs w:val="21"/>
              </w:rPr>
            </w:pPr>
            <w:r>
              <w:rPr>
                <w:rFonts w:ascii="Times New Roman" w:cs="宋体" w:hAnsi="Times New Roman" w:hint="eastAsia"/>
                <w:bCs/>
                <w:color w:val="000000"/>
                <w:szCs w:val="21"/>
              </w:rPr>
              <w:t>1.自中标通知书发出后30个日历日内。</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Cs/>
                <w:color w:val="000000"/>
                <w:szCs w:val="21"/>
              </w:rPr>
            </w:pPr>
            <w:r>
              <w:rPr>
                <w:rFonts w:ascii="Times New Roman" w:cs="宋体" w:hAnsi="Times New Roman" w:hint="eastAsia"/>
                <w:bCs/>
                <w:color w:val="000000"/>
                <w:szCs w:val="21"/>
              </w:rPr>
              <w:t>2.地点：</w:t>
            </w:r>
            <w:r>
              <w:rPr>
                <w:rFonts w:ascii="Times New Roman" w:cs="宋体" w:hAnsi="Times New Roman"/>
                <w:bCs/>
                <w:color w:val="000000"/>
                <w:szCs w:val="21"/>
              </w:rPr>
              <w:t>广西柳州市海关路2号</w:t>
            </w:r>
            <w:r>
              <w:rPr>
                <w:rFonts w:ascii="Times New Roman" w:cs="宋体" w:hAnsi="Times New Roman" w:hint="eastAsia"/>
                <w:bCs/>
                <w:color w:val="000000"/>
                <w:szCs w:val="21"/>
              </w:rPr>
              <w:t>。</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
                <w:bCs/>
                <w:color w:val="000000"/>
                <w:szCs w:val="21"/>
              </w:rPr>
            </w:pPr>
            <w:r>
              <w:rPr>
                <w:rFonts w:ascii="Times New Roman" w:cs="宋体" w:hAnsi="Times New Roman"/>
                <w:b/>
                <w:bCs/>
                <w:color w:val="000000"/>
                <w:szCs w:val="21"/>
              </w:rPr>
              <w:t>2、</w:t>
            </w:r>
            <w:r>
              <w:rPr>
                <w:rFonts w:ascii="Times New Roman" w:cs="宋体" w:hAnsi="Times New Roman" w:hint="eastAsia"/>
                <w:b/>
                <w:bCs/>
                <w:color w:val="000000"/>
                <w:szCs w:val="21"/>
              </w:rPr>
              <w:t>交付时间及地点</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Cs/>
                <w:color w:val="000000"/>
                <w:szCs w:val="21"/>
              </w:rPr>
            </w:pPr>
            <w:r>
              <w:rPr>
                <w:rFonts w:ascii="Times New Roman" w:cs="宋体" w:hAnsi="Times New Roman" w:hint="eastAsia"/>
                <w:bCs/>
                <w:color w:val="000000"/>
                <w:szCs w:val="21"/>
              </w:rPr>
              <w:t>1.交货时间：产品到货时间不得超过正式签订合同后30个日历日。</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Cs/>
                <w:color w:val="000000"/>
                <w:szCs w:val="21"/>
              </w:rPr>
            </w:pPr>
            <w:r>
              <w:rPr>
                <w:rFonts w:ascii="Times New Roman" w:cs="宋体" w:hAnsi="Times New Roman" w:hint="eastAsia"/>
                <w:bCs/>
                <w:color w:val="000000"/>
                <w:szCs w:val="21"/>
              </w:rPr>
              <w:t>2.交货地点：</w:t>
            </w:r>
            <w:r>
              <w:rPr>
                <w:rFonts w:ascii="Times New Roman" w:cs="宋体" w:hAnsi="Times New Roman"/>
                <w:bCs/>
                <w:color w:val="000000"/>
                <w:szCs w:val="21"/>
              </w:rPr>
              <w:t>广西柳州市海关路6号</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
                <w:bCs/>
                <w:color w:val="000000"/>
                <w:szCs w:val="21"/>
              </w:rPr>
            </w:pPr>
            <w:r>
              <w:rPr>
                <w:rFonts w:ascii="Times New Roman" w:cs="宋体" w:hAnsi="Times New Roman"/>
                <w:b/>
                <w:bCs/>
                <w:color w:val="000000"/>
                <w:szCs w:val="21"/>
              </w:rPr>
              <w:t>3、</w:t>
            </w:r>
            <w:r>
              <w:rPr>
                <w:rFonts w:ascii="Times New Roman" w:cs="宋体" w:hAnsi="Times New Roman" w:hint="eastAsia"/>
                <w:b/>
                <w:bCs/>
                <w:color w:val="000000"/>
                <w:szCs w:val="21"/>
              </w:rPr>
              <w:t>报价要求</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Cs/>
                <w:color w:val="000000"/>
                <w:szCs w:val="21"/>
              </w:rPr>
            </w:pPr>
            <w:r>
              <w:rPr>
                <w:rFonts w:ascii="Times New Roman" w:cs="宋体" w:hAnsi="Times New Roman" w:hint="eastAsia"/>
                <w:bCs/>
                <w:color w:val="000000"/>
                <w:szCs w:val="21"/>
              </w:rPr>
              <w:t>1.投标人的投标报价应为人民币含税价。本项目报价为总价包干，投标报价必须包括实施和完成该项目所需的设备和人力成本、运输费（含装卸费）、保险费、安装调试费、验收、培训费、产品检测费、产品质保期内维护、履约验收费、税费、所有手续费等，直至验收合格交付采购人使用的所有相关费用。</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Cs/>
                <w:color w:val="000000"/>
                <w:szCs w:val="21"/>
              </w:rPr>
            </w:pPr>
            <w:r>
              <w:rPr>
                <w:rFonts w:ascii="Times New Roman" w:cs="宋体" w:hAnsi="Times New Roman" w:hint="eastAsia"/>
                <w:bCs/>
                <w:color w:val="000000"/>
                <w:szCs w:val="21"/>
              </w:rPr>
              <w:t xml:space="preserve">2.本项目涉及的管材、耗材、辅材等实行包干制，不足部分由中标人自行承担。 </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
                <w:bCs/>
                <w:color w:val="000000"/>
                <w:szCs w:val="21"/>
              </w:rPr>
            </w:pPr>
            <w:r>
              <w:rPr>
                <w:rFonts w:ascii="Times New Roman" w:cs="宋体" w:hAnsi="Times New Roman"/>
                <w:b/>
                <w:bCs/>
                <w:color w:val="000000"/>
                <w:szCs w:val="21"/>
              </w:rPr>
              <w:t>4、</w:t>
            </w:r>
            <w:r>
              <w:rPr>
                <w:rFonts w:ascii="Times New Roman" w:cs="宋体" w:hAnsi="Times New Roman" w:hint="eastAsia"/>
                <w:b/>
                <w:bCs/>
                <w:color w:val="000000"/>
                <w:szCs w:val="21"/>
              </w:rPr>
              <w:t>付款条件</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color w:val="000000"/>
                <w:szCs w:val="21"/>
              </w:rPr>
            </w:pPr>
            <w:r>
              <w:rPr>
                <w:rFonts w:ascii="Times New Roman" w:cs="宋体" w:hAnsi="Times New Roman" w:hint="eastAsia"/>
                <w:bCs/>
                <w:color w:val="000000"/>
                <w:szCs w:val="21"/>
              </w:rPr>
              <w:t>1. 设备</w:t>
            </w:r>
            <w:r>
              <w:rPr>
                <w:rFonts w:ascii="Times New Roman" w:cs="宋体" w:hAnsi="Times New Roman"/>
                <w:bCs/>
                <w:color w:val="000000"/>
                <w:szCs w:val="21"/>
              </w:rPr>
              <w:t>安装调试完毕并经采购人最终验收合格后，采购人应自收到成交供应商提交的最终验收报告、全额发票、以及付款申请之日起</w:t>
            </w:r>
            <w:r>
              <w:rPr>
                <w:rFonts w:ascii="Times New Roman" w:cs="宋体" w:hAnsi="Times New Roman" w:hint="eastAsia"/>
                <w:bCs/>
                <w:color w:val="000000"/>
                <w:szCs w:val="21"/>
              </w:rPr>
              <w:t>10个工作日内</w:t>
            </w:r>
            <w:r>
              <w:rPr>
                <w:rFonts w:ascii="Times New Roman" w:cs="宋体" w:hAnsi="Times New Roman"/>
                <w:bCs/>
                <w:color w:val="000000"/>
                <w:szCs w:val="21"/>
              </w:rPr>
              <w:t>100%</w:t>
            </w:r>
            <w:r>
              <w:rPr>
                <w:rFonts w:ascii="Times New Roman" w:cs="宋体" w:hAnsi="Times New Roman" w:hint="eastAsia"/>
                <w:bCs/>
                <w:color w:val="000000"/>
                <w:szCs w:val="21"/>
              </w:rPr>
              <w:t>支付合同金额。</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Cs/>
                <w:color w:val="000000"/>
                <w:szCs w:val="21"/>
              </w:rPr>
            </w:pPr>
            <w:r>
              <w:rPr>
                <w:rFonts w:ascii="Times New Roman" w:cs="宋体" w:hAnsi="Times New Roman" w:hint="eastAsia"/>
                <w:bCs/>
                <w:color w:val="000000"/>
                <w:szCs w:val="21"/>
              </w:rPr>
              <w:t>2.票据要求：付款前成交供应商必须按照合同要求提供真实、有效、合法的正式发票，并经采购人检查票据合格。一旦发现成交供应商提供虚假发票，除须向采购人补开合法发票外，须向采购人支付发票票面金额一倍的违约金，且采购人有权终止合同，因终止合同而产生的一切损失均由供应商承担。</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Cs/>
                <w:color w:val="000000"/>
                <w:szCs w:val="21"/>
              </w:rPr>
            </w:pPr>
            <w:r>
              <w:rPr>
                <w:rFonts w:ascii="Times New Roman" w:cs="宋体" w:hAnsi="Times New Roman" w:hint="eastAsia"/>
                <w:bCs/>
                <w:color w:val="000000"/>
                <w:szCs w:val="21"/>
              </w:rPr>
              <w:t>3.本合同使用货币币制如未作特别说明均为人民币。</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
                <w:bCs/>
                <w:color w:val="000000"/>
                <w:szCs w:val="21"/>
              </w:rPr>
            </w:pPr>
            <w:r>
              <w:rPr>
                <w:rFonts w:ascii="Times New Roman" w:cs="宋体" w:hAnsi="Times New Roman" w:hint="eastAsia"/>
                <w:b/>
                <w:bCs/>
                <w:color w:val="000000"/>
                <w:szCs w:val="21"/>
                <w:lang w:val="en-US" w:eastAsia="zh-CN"/>
              </w:rPr>
              <w:t>★</w:t>
            </w:r>
            <w:r>
              <w:rPr>
                <w:rFonts w:ascii="Times New Roman" w:cs="宋体" w:hAnsi="Times New Roman"/>
                <w:b/>
                <w:bCs/>
                <w:color w:val="000000"/>
                <w:szCs w:val="21"/>
              </w:rPr>
              <w:t>5、</w:t>
            </w:r>
            <w:r>
              <w:rPr>
                <w:rFonts w:ascii="Times New Roman" w:cs="宋体" w:hAnsi="Times New Roman" w:hint="eastAsia"/>
                <w:b/>
                <w:bCs/>
                <w:color w:val="000000"/>
                <w:szCs w:val="21"/>
              </w:rPr>
              <w:t>质保期</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Cs/>
                <w:color w:val="000000"/>
                <w:szCs w:val="21"/>
              </w:rPr>
            </w:pPr>
            <w:r>
              <w:rPr>
                <w:rFonts w:ascii="Times New Roman" w:cs="宋体" w:hAnsi="Times New Roman" w:hint="eastAsia"/>
                <w:bCs/>
                <w:color w:val="000000"/>
                <w:szCs w:val="21"/>
              </w:rPr>
              <w:t>1. 产品安装调试经用户验收合格当天起，质保期3年。在质保期内，产品因故障停用，质保期相应顺延。仪器设备总价包含质保期所有费用。质保期外4年内，能更及时地为用户提供仪器关键零备件、消耗品等。</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
                <w:bCs/>
                <w:color w:val="000000"/>
                <w:szCs w:val="21"/>
              </w:rPr>
            </w:pPr>
            <w:r>
              <w:rPr>
                <w:rFonts w:ascii="Times New Roman" w:cs="宋体" w:hAnsi="Times New Roman"/>
                <w:b/>
                <w:bCs/>
                <w:color w:val="000000"/>
                <w:szCs w:val="21"/>
              </w:rPr>
              <w:t>6、</w:t>
            </w:r>
            <w:r>
              <w:rPr>
                <w:rFonts w:ascii="Times New Roman" w:cs="宋体" w:hAnsi="Times New Roman" w:hint="eastAsia"/>
                <w:b/>
                <w:bCs/>
                <w:color w:val="000000"/>
                <w:szCs w:val="21"/>
              </w:rPr>
              <w:t>售后服务要求</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Cs/>
                <w:color w:val="000000"/>
                <w:szCs w:val="21"/>
              </w:rPr>
            </w:pPr>
            <w:r>
              <w:rPr>
                <w:rFonts w:ascii="Times New Roman" w:cs="宋体" w:hAnsi="Times New Roman" w:hint="eastAsia"/>
                <w:bCs/>
                <w:color w:val="000000"/>
                <w:szCs w:val="21"/>
              </w:rPr>
              <w:t>1.为保障货物质量及产品品质，中标供应商必须承诺在合同签订后正式供货时向采购人提供货物来源合法性证明（如：生产厂家针对此项目的质量保证证明、售后服务保证原件、供货证明原件、经销证书或购买发票等）。合同签订后，在1周内中标供应商将仪器操作间的装修要求和水、电、气要求通知采购人。</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Cs/>
                <w:color w:val="000000"/>
                <w:szCs w:val="21"/>
              </w:rPr>
            </w:pPr>
            <w:r>
              <w:rPr>
                <w:rFonts w:ascii="Times New Roman" w:cs="宋体" w:hAnsi="Times New Roman" w:hint="eastAsia"/>
                <w:bCs/>
                <w:color w:val="000000"/>
                <w:szCs w:val="21"/>
              </w:rPr>
              <w:t>2.中标供应商负责将设备运至需求单位指定的地点，负责安装，现场培训及技术应用培训。中标价应包含产品的制造、材料费（主材及辅材）、运输、安装、验收、保修、税收、所有手续费等直至验收合格交付需求单位使用的所有相关费用。中标价格在中标后的合同实施期间应保持不变，即不因市场价格或政策性价格的调整而增减（若因中标人责任而导致的需方依据合同条款对中标人的扣款处罚除外）。</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color w:val="000000"/>
                <w:szCs w:val="21"/>
              </w:rPr>
            </w:pPr>
            <w:r>
              <w:rPr>
                <w:rFonts w:ascii="Times New Roman" w:cs="宋体" w:hAnsi="Times New Roman" w:hint="eastAsia"/>
                <w:color w:val="000000"/>
                <w:szCs w:val="21"/>
              </w:rPr>
              <w:t>3.在质量保证期内设备发生故障，中标供应商应提供原厂商售后维修和更换零件服务,并承担全部费用。质保期后，中标供应商提供设备终身技术支持，包括故障排除和零配件的供应、仪器软件</w:t>
            </w:r>
            <w:r>
              <w:rPr>
                <w:rFonts w:ascii="Times New Roman" w:cs="宋体" w:hAnsi="Times New Roman"/>
                <w:color w:val="000000"/>
                <w:szCs w:val="21"/>
              </w:rPr>
              <w:t>无偿</w:t>
            </w:r>
            <w:r>
              <w:rPr>
                <w:rFonts w:ascii="Times New Roman" w:cs="宋体" w:hAnsi="Times New Roman" w:hint="eastAsia"/>
                <w:color w:val="000000"/>
                <w:szCs w:val="21"/>
              </w:rPr>
              <w:t>升级和培训；设备出现故障需更换配件时，只收取零配件费用，免收其它费用。</w:t>
            </w:r>
          </w:p>
          <w:p>
            <w:pPr>
              <w:pStyle w:val="43"/>
              <w:pageBreakBefore w:val="0"/>
              <w:widowControl/>
              <w:kinsoku/>
              <w:wordWrap/>
              <w:overflowPunct/>
              <w:topLinePunct w:val="0"/>
              <w:autoSpaceDE/>
              <w:autoSpaceDN/>
              <w:bidi w:val="0"/>
              <w:adjustRightInd w:val="0"/>
              <w:snapToGrid w:val="0"/>
              <w:ind w:firstLine="449"/>
              <w:jc w:val="left"/>
              <w:textAlignment w:val="center"/>
              <w:rPr>
                <w:rFonts w:ascii="Times New Roman" w:cs="宋体" w:hAnsi="Times New Roman"/>
                <w:color w:val="000000"/>
                <w:szCs w:val="21"/>
                <w:lang w:val="en-US" w:eastAsia="zh-CN"/>
              </w:rPr>
            </w:pPr>
            <w:r>
              <w:rPr>
                <w:rFonts w:ascii="Times New Roman" w:cs="宋体" w:hAnsi="Times New Roman"/>
                <w:color w:val="000000"/>
                <w:szCs w:val="21"/>
              </w:rPr>
              <w:t>4.</w:t>
            </w:r>
            <w:r>
              <w:rPr>
                <w:rFonts w:ascii="Times New Roman" w:cs="宋体" w:hAnsi="Times New Roman" w:hint="eastAsia"/>
                <w:color w:val="000000"/>
                <w:szCs w:val="21"/>
                <w:lang w:val="en-US" w:eastAsia="zh-CN"/>
              </w:rPr>
              <w:t>中标供应商能响应故障处理请求和电话咨询，提供7×24小时技术支持，4小时内响应和24小时内提出解决方案，一般应在48小时内派人到现场维修的售后服务。中标供应商应提供维保人员名单、联系电话等。</w:t>
            </w:r>
          </w:p>
          <w:p>
            <w:pPr>
              <w:pStyle w:val="43"/>
              <w:pageBreakBefore w:val="0"/>
              <w:widowControl/>
              <w:kinsoku/>
              <w:wordWrap/>
              <w:overflowPunct/>
              <w:topLinePunct w:val="0"/>
              <w:autoSpaceDE/>
              <w:autoSpaceDN/>
              <w:bidi w:val="0"/>
              <w:adjustRightInd w:val="0"/>
              <w:snapToGrid w:val="0"/>
              <w:ind w:firstLine="449"/>
              <w:jc w:val="left"/>
              <w:textAlignment w:val="center"/>
              <w:rPr>
                <w:rFonts w:ascii="Times New Roman" w:cs="宋体" w:hAnsi="Times New Roman"/>
                <w:color w:val="000000"/>
                <w:szCs w:val="21"/>
              </w:rPr>
            </w:pPr>
            <w:r>
              <w:rPr>
                <w:rFonts w:ascii="Times New Roman" w:cs="宋体" w:hAnsi="Times New Roman"/>
                <w:color w:val="000000"/>
                <w:szCs w:val="21"/>
                <w:lang w:val="en-US" w:eastAsia="zh-CN"/>
              </w:rPr>
              <w:t>5.</w:t>
            </w:r>
            <w:r>
              <w:rPr>
                <w:rFonts w:ascii="Times New Roman" w:cs="宋体" w:hAnsi="Times New Roman" w:hint="eastAsia"/>
                <w:color w:val="000000"/>
                <w:szCs w:val="21"/>
              </w:rPr>
              <w:t>现场培训：仪器在安装调试同时，中标供应商负责派工程师对用户就仪器原理、基本操作和维护知识进行现场培训，培训人数不限，以保证相关人员能独立上机进行基本操作和数据处理。如采购人有因人员流动，需要进行培训，中标供应商应对采购人新增实验人员进行现场培训。</w:t>
            </w:r>
          </w:p>
          <w:p>
            <w:pPr>
              <w:pStyle w:val="43"/>
              <w:pageBreakBefore w:val="0"/>
              <w:widowControl/>
              <w:kinsoku/>
              <w:wordWrap/>
              <w:overflowPunct/>
              <w:topLinePunct w:val="0"/>
              <w:autoSpaceDE/>
              <w:autoSpaceDN/>
              <w:bidi w:val="0"/>
              <w:adjustRightInd w:val="0"/>
              <w:snapToGrid w:val="0"/>
              <w:ind w:firstLine="449"/>
              <w:jc w:val="left"/>
              <w:textAlignment w:val="center"/>
              <w:rPr>
                <w:rFonts w:ascii="Times New Roman" w:cs="宋体" w:hAnsi="Times New Roman" w:hint="eastAsia"/>
                <w:color w:val="000000"/>
                <w:szCs w:val="21"/>
              </w:rPr>
            </w:pPr>
            <w:r>
              <w:rPr>
                <w:rFonts w:ascii="Times New Roman" w:cs="宋体" w:hAnsi="Times New Roman"/>
                <w:color w:val="000000"/>
                <w:szCs w:val="21"/>
                <w:lang w:val="en-US" w:eastAsia="zh-CN"/>
              </w:rPr>
              <w:t>6.</w:t>
            </w:r>
            <w:r>
              <w:rPr>
                <w:rFonts w:ascii="Times New Roman" w:cs="宋体" w:hAnsi="Times New Roman" w:hint="eastAsia"/>
                <w:color w:val="000000"/>
                <w:szCs w:val="21"/>
              </w:rPr>
              <w:t>集中培训：中标人提供采购方至少4名（验收后3年内）技术人员到厂家指定地点进行相同设备专项技能培训，培训时间原则上不少于3天。</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b/>
                <w:bCs/>
                <w:color w:val="000000"/>
                <w:szCs w:val="21"/>
              </w:rPr>
            </w:pPr>
            <w:r>
              <w:rPr>
                <w:rFonts w:ascii="Times New Roman" w:cs="宋体" w:hAnsi="Times New Roman"/>
                <w:b/>
                <w:bCs/>
                <w:color w:val="000000"/>
                <w:szCs w:val="21"/>
              </w:rPr>
              <w:t>7、</w:t>
            </w:r>
            <w:r>
              <w:rPr>
                <w:rFonts w:ascii="Times New Roman" w:cs="宋体" w:hAnsi="Times New Roman" w:hint="eastAsia"/>
                <w:b/>
                <w:bCs/>
                <w:color w:val="000000"/>
                <w:szCs w:val="21"/>
              </w:rPr>
              <w:t>采购标的验收标准</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color w:val="000000"/>
                <w:szCs w:val="21"/>
              </w:rPr>
            </w:pPr>
            <w:r>
              <w:rPr>
                <w:rFonts w:ascii="Times New Roman" w:cs="宋体" w:hAnsi="Times New Roman" w:hint="eastAsia"/>
                <w:color w:val="000000"/>
                <w:szCs w:val="21"/>
              </w:rPr>
              <w:t>1.货到后，中标方负责派技术人员到现场进行安装、调试，直至验收合格，带“★”的项目必须符合其性能。</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color w:val="000000"/>
                <w:szCs w:val="21"/>
                <w:lang w:val="en-US" w:eastAsia="zh-CN"/>
              </w:rPr>
            </w:pPr>
            <w:r>
              <w:rPr>
                <w:rFonts w:ascii="Times New Roman" w:cs="宋体" w:hAnsi="Times New Roman" w:hint="eastAsia"/>
                <w:color w:val="000000"/>
                <w:szCs w:val="21"/>
                <w:lang w:val="en-US" w:eastAsia="zh-CN"/>
              </w:rPr>
              <w:t>2.中标供应商须提供产品的原厂技术文件以及验收要求的校准文件或计量证书。属于中华人民共和国强制检定计量器具，中标供应商须负责提供法定计量证书。所需费用由中标供应商承担。</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color w:val="000000"/>
                <w:szCs w:val="21"/>
                <w:lang w:val="en-US" w:eastAsia="zh-CN"/>
              </w:rPr>
            </w:pPr>
            <w:r>
              <w:rPr>
                <w:rFonts w:ascii="Times New Roman" w:cs="宋体" w:hAnsi="Times New Roman" w:hint="eastAsia"/>
                <w:color w:val="000000"/>
                <w:szCs w:val="21"/>
                <w:lang w:val="en-US" w:eastAsia="zh-CN"/>
              </w:rPr>
              <w:t>3.中标供应商设备供货、安装施工、调试、工程验收、货物运输、售后服务等均应符合国家相关法律、法规以及国家标准、相关行业标准。中标供应商提供设备的制造标准、安装标准及技术规范等有关资料必须符合国家相应的有关标准、规范要求。</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color w:val="000000"/>
                <w:szCs w:val="21"/>
                <w:lang w:val="en-US" w:eastAsia="zh-CN"/>
              </w:rPr>
            </w:pPr>
            <w:r>
              <w:rPr>
                <w:rFonts w:ascii="Times New Roman" w:cs="宋体" w:hAnsi="Times New Roman" w:hint="eastAsia"/>
                <w:color w:val="000000"/>
                <w:szCs w:val="21"/>
                <w:lang w:val="en-US" w:eastAsia="zh-CN"/>
              </w:rPr>
              <w:t>4.中标供应商应向需求单位提供完整的设备技术资料、货物制造商的出厂检验报告、合格证书、产品保证书、认证书、及政府许可证明、说明书等，保证产品和安装材料是新生产、未经过使用的原装原厂正品。如在交付使用前发生设备损坏和不合格，需求单位有权要求退货，因此造成的一切损失由供应商承担。</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color w:val="000000"/>
                <w:szCs w:val="21"/>
                <w:lang w:val="en-US" w:eastAsia="zh-CN"/>
              </w:rPr>
            </w:pPr>
            <w:r>
              <w:rPr>
                <w:rFonts w:ascii="Times New Roman" w:cs="宋体" w:hAnsi="Times New Roman" w:hint="eastAsia"/>
                <w:color w:val="000000"/>
                <w:szCs w:val="21"/>
                <w:lang w:val="en-US" w:eastAsia="zh-CN"/>
              </w:rPr>
              <w:t>5.中标供应商根据合同要求进行系统安装、调试后，由需求单位进行使用性能方面的验收，确保在使用过程内具有满意的性能。如质量不符合要求，供应商应无条件及时更换并不得以任何原因拖延。</w:t>
            </w:r>
          </w:p>
          <w:p>
            <w:pPr>
              <w:pStyle w:val="43"/>
              <w:pageBreakBefore w:val="0"/>
              <w:widowControl/>
              <w:kinsoku/>
              <w:wordWrap/>
              <w:overflowPunct/>
              <w:topLinePunct w:val="0"/>
              <w:autoSpaceDE/>
              <w:autoSpaceDN/>
              <w:adjustRightInd w:val="0"/>
              <w:snapToGrid w:val="0"/>
              <w:ind w:firstLine="449"/>
              <w:jc w:val="left"/>
              <w:textAlignment w:val="center"/>
              <w:rPr>
                <w:rFonts w:ascii="Times New Roman" w:cs="宋体" w:hAnsi="Times New Roman" w:hint="eastAsia"/>
                <w:color w:val="000000"/>
                <w:szCs w:val="21"/>
              </w:rPr>
            </w:pPr>
            <w:r>
              <w:rPr>
                <w:rFonts w:ascii="Times New Roman" w:cs="宋体" w:hAnsi="Times New Roman" w:hint="eastAsia"/>
                <w:color w:val="000000"/>
                <w:szCs w:val="21"/>
                <w:lang w:val="en-US" w:eastAsia="zh-CN"/>
              </w:rPr>
              <w:t>6.需求单位根据招标文件、中标供应商的竞标文件、合同、制造厂商的产品验收标准及中华人民共和国有关标准进行验收。需求单位有权委托中国具权威资质机构对设备的灵敏度、测量精度等技术性能进行验收。因中标供应商所提供的产品未达到招标文件中技术性能指标的，一律拒收，不予付款，需求单位有权因此终止合同的执行，中标商将自行承担所有经济损失；同时，需求单位将保留向中标供应商因设备延迟到位而造成对口岸检验业务的不良影响追索相应“违约”责任的权利。</w:t>
            </w:r>
          </w:p>
        </w:tc>
      </w:tr>
    </w:tbl>
    <w:p>
      <w:pPr>
        <w:widowControl/>
        <w:tabs>
          <w:tab w:val="left" w:pos="455"/>
        </w:tabs>
        <w:spacing w:line="500" w:lineRule="exact"/>
        <w:ind w:firstLineChars="2000" w:firstLine="5600"/>
        <w:jc w:val="left"/>
        <w:rPr>
          <w:rFonts w:ascii="Times New Roman" w:cs="宋体" w:hAnsi="Times New Roman" w:hint="eastAsia"/>
          <w:kern w:val="0"/>
          <w:sz w:val="28"/>
          <w:szCs w:val="28"/>
          <w:lang w:bidi="ar-SA"/>
        </w:rPr>
      </w:pPr>
      <w:r>
        <w:rPr>
          <w:rFonts w:ascii="Times New Roman" w:cs="宋体" w:hAnsi="Times New Roman" w:hint="eastAsia"/>
          <w:kern w:val="0"/>
          <w:sz w:val="28"/>
          <w:szCs w:val="28"/>
          <w:lang w:bidi="ar-SA"/>
        </w:rPr>
        <w:t xml:space="preserve">     </w:t>
      </w:r>
    </w:p>
    <w:sectPr>
      <w:footerReference w:type="default" r:id="rId2"/>
      <w:footerReference w:type="even" r:id="rId3"/>
      <w:pgSz w:w="11906" w:h="16838"/>
      <w:pgMar w:top="1440" w:right="1800" w:bottom="1440" w:left="1800" w:header="851" w:footer="992" w:gutter="0"/>
      <w:pgNumType/>
      <w:docGrid w:type="lines" w:linePitch="435"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E0003AFF" w:usb1="C0007841" w:usb2="00000009" w:usb3="00000000" w:csb0="000001FF" w:csb1="00000000"/>
  </w:font>
  <w:font w:name="方正黑体_GBK">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variable"/>
    <w:sig w:usb0="800002BF" w:usb1="38CF7CFA" w:usb2="00000016" w:usb3="00000000" w:csb0="00040001" w:csb1="00000000"/>
  </w:font>
  <w:font w:name="Arial">
    <w:panose1 w:val="020B0604020202020204"/>
    <w:charset w:val="00"/>
    <w:family w:val="swiss"/>
    <w:pitch w:val="variable"/>
    <w:sig w:usb0="E0003AFF" w:usb1="C0007843" w:usb2="00000009" w:usb3="00000000" w:csb0="000001FF" w:csb1="0000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framePr w:w="0" w:hRule="auto" w:wrap="around" w:vAnchor="text" w:hAnchor="margin" w:xAlign="center" w:y="1" w:anchorLock="0"/>
      <w:tabs>
        <w:tab w:val="center" w:pos="4153"/>
        <w:tab w:val="right" w:pos="8306"/>
      </w:tabs>
      <w:rPr>
        <w:rStyle w:val="16"/>
      </w:rPr>
    </w:pPr>
    <w:r>
      <w:rPr>
        <w:rStyle w:val="16"/>
      </w:rPr>
      <w:fldChar w:fldCharType="begin"/>
    </w:r>
    <w:r>
      <w:rPr>
        <w:rStyle w:val="16"/>
      </w:rPr>
      <w:instrText xml:space="preserve">PAGE  </w:instrText>
    </w:r>
    <w:r>
      <w:rPr>
        <w:rStyle w:val="16"/>
      </w:rPr>
      <w:fldChar w:fldCharType="separate"/>
    </w:r>
    <w:r>
      <w:rPr>
        <w:rStyle w:val="16"/>
        <w:lang w:val="en-US" w:eastAsia="zh-CN"/>
      </w:rPr>
      <w:t>3</w:t>
    </w:r>
    <w:r>
      <w:rPr>
        <w:rStyle w:val="16"/>
      </w:rPr>
      <w:fldChar w:fldCharType="end"/>
    </w:r>
  </w:p>
  <w:p>
    <w:pPr>
      <w:pStyle w:val="15"/>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framePr w:w="0" w:hRule="auto" w:wrap="around" w:vAnchor="text" w:hAnchor="margin" w:xAlign="center" w:y="1" w:anchorLock="0"/>
      <w:tabs>
        <w:tab w:val="center" w:pos="4153"/>
        <w:tab w:val="right" w:pos="8306"/>
      </w:tabs>
      <w:rPr>
        <w:rStyle w:val="16"/>
      </w:rPr>
    </w:pPr>
    <w:r>
      <w:rPr>
        <w:rStyle w:val="16"/>
      </w:rPr>
      <w:fldChar w:fldCharType="begin"/>
    </w:r>
    <w:r>
      <w:rPr>
        <w:rStyle w:val="16"/>
      </w:rPr>
      <w:instrText xml:space="preserve">PAGE  </w:instrText>
    </w:r>
    <w:r>
      <w:rPr>
        <w:rStyle w:val="16"/>
      </w:rPr>
      <w:fldChar w:fldCharType="separate"/>
    </w:r>
    <w:r>
      <w:rPr>
        <w:rStyle w:val="16"/>
      </w:rPr>
      <w:t xml:space="preserve"> </w:t>
    </w:r>
    <w:r>
      <w:rPr>
        <w:rStyle w:val="16"/>
      </w:rPr>
      <w:fldChar w:fldCharType="end"/>
    </w:r>
  </w:p>
  <w:p>
    <w:pPr>
      <w:pStyle w:val="15"/>
      <w:tabs>
        <w:tab w:val="center" w:pos="4153"/>
        <w:tab w:val="right" w:pos="8306"/>
      </w:tabs>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30"/>
  <w:doNotDisplayPageBoundaries/>
  <w:bordersDoNotSurroundHeader/>
  <w:bordersDoNotSurroundFooter/>
  <w:trackRevisions/>
  <w:defaultTabStop w:val="420"/>
  <w:drawingGridHorizontalSpacing w:val="18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doNotUseIndentAsNumberingTabStop/>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仿宋" w:eastAsia="仿宋" w:cs="Times New Roman"/>
      <w:kern w:val="2"/>
      <w:sz w:val="32"/>
      <w:szCs w:val="32"/>
      <w:lang w:val="en-US" w:eastAsia="zh-CN" w:bidi="ar-SA"/>
    </w:rPr>
  </w:style>
  <w:style w:type="paragraph" w:styleId="4">
    <w:name w:val="heading 4"/>
    <w:basedOn w:val="0"/>
    <w:next w:val="0"/>
    <w:pPr>
      <w:keepNext/>
      <w:keepLines/>
      <w:widowControl w:val="0"/>
      <w:spacing w:before="280" w:after="290" w:line="377" w:lineRule="auto"/>
      <w:outlineLvl w:val="3"/>
    </w:pPr>
    <w:rPr>
      <w:rFonts w:ascii="Arial" w:eastAsia="黑体" w:hAnsi="Arial"/>
      <w:b/>
      <w:bCs/>
      <w:sz w:val="28"/>
      <w:szCs w:val="28"/>
    </w:rPr>
  </w:style>
  <w:style w:type="character" w:default="1" w:styleId="10">
    <w:name w:val="Default Paragraph Font"/>
  </w:style>
  <w:style w:type="paragraph" w:styleId="15">
    <w:name w:val="footer"/>
    <w:basedOn w:val="0"/>
    <w:pPr>
      <w:tabs>
        <w:tab w:val="center" w:pos="4153"/>
        <w:tab w:val="right" w:pos="8306"/>
      </w:tabs>
      <w:snapToGrid w:val="0"/>
      <w:jc w:val="left"/>
    </w:pPr>
    <w:rPr>
      <w:sz w:val="18"/>
      <w:szCs w:val="18"/>
    </w:rPr>
  </w:style>
  <w:style w:type="character" w:styleId="16">
    <w:name w:val="page number"/>
    <w:basedOn w:val="10"/>
  </w:style>
  <w:style w:type="character" w:styleId="17">
    <w:name w:val="Emphasis"/>
    <w:rPr>
      <w:i/>
      <w:iCs/>
    </w:rPr>
  </w:style>
  <w:style w:type="paragraph" w:customStyle="1" w:styleId="18">
    <w:name w:val="样式 10 磅"/>
    <w:pPr>
      <w:widowControl w:val="0"/>
      <w:jc w:val="both"/>
    </w:pPr>
    <w:rPr>
      <w:rFonts w:ascii="Calibri" w:eastAsia="宋体" w:cs="Arial" w:hAnsi="Calibri"/>
      <w:kern w:val="2"/>
      <w:sz w:val="21"/>
      <w:szCs w:val="24"/>
      <w:lang w:val="en-US" w:eastAsia="zh-CN" w:bidi="ar-SA"/>
    </w:rPr>
  </w:style>
  <w:style w:type="paragraph" w:customStyle="1" w:styleId="19">
    <w:name w:val="样式 1 10 磅"/>
    <w:pPr>
      <w:widowControl w:val="0"/>
      <w:jc w:val="both"/>
    </w:pPr>
    <w:rPr>
      <w:rFonts w:ascii="Calibri" w:eastAsia="宋体" w:cs="Arial" w:hAnsi="Calibri"/>
      <w:kern w:val="2"/>
      <w:sz w:val="21"/>
      <w:szCs w:val="24"/>
      <w:lang w:val="en-US" w:eastAsia="zh-CN" w:bidi="ar-SA"/>
    </w:rPr>
  </w:style>
  <w:style w:type="paragraph" w:customStyle="1" w:styleId="20">
    <w:name w:val="样式 2 10 磅"/>
    <w:pPr>
      <w:widowControl w:val="0"/>
      <w:jc w:val="both"/>
    </w:pPr>
    <w:rPr>
      <w:rFonts w:ascii="Calibri" w:eastAsia="宋体" w:cs="Arial" w:hAnsi="Calibri"/>
      <w:kern w:val="2"/>
      <w:sz w:val="21"/>
      <w:szCs w:val="24"/>
      <w:lang w:val="en-US" w:eastAsia="zh-CN" w:bidi="ar-SA"/>
    </w:rPr>
  </w:style>
  <w:style w:type="paragraph" w:customStyle="1" w:styleId="21">
    <w:name w:val="样式 3 10 磅"/>
    <w:pPr>
      <w:widowControl w:val="0"/>
      <w:jc w:val="both"/>
    </w:pPr>
    <w:rPr>
      <w:rFonts w:ascii="Calibri" w:eastAsia="宋体" w:cs="Arial" w:hAnsi="Calibri"/>
      <w:kern w:val="2"/>
      <w:sz w:val="21"/>
      <w:szCs w:val="24"/>
      <w:lang w:val="en-US" w:eastAsia="zh-CN" w:bidi="ar-SA"/>
    </w:rPr>
  </w:style>
  <w:style w:type="paragraph" w:customStyle="1" w:styleId="22">
    <w:name w:val="样式 4 10 磅"/>
    <w:pPr>
      <w:widowControl w:val="0"/>
      <w:jc w:val="both"/>
    </w:pPr>
    <w:rPr>
      <w:rFonts w:ascii="Calibri" w:eastAsia="宋体" w:cs="Arial" w:hAnsi="Calibri"/>
      <w:kern w:val="2"/>
      <w:sz w:val="21"/>
      <w:szCs w:val="24"/>
      <w:lang w:val="en-US" w:eastAsia="zh-CN" w:bidi="ar-SA"/>
    </w:rPr>
  </w:style>
  <w:style w:type="paragraph" w:customStyle="1" w:styleId="23">
    <w:name w:val="样式 5 10 磅"/>
    <w:pPr>
      <w:widowControl w:val="0"/>
      <w:jc w:val="both"/>
    </w:pPr>
    <w:rPr>
      <w:rFonts w:ascii="Calibri" w:eastAsia="宋体" w:cs="Arial" w:hAnsi="Calibri"/>
      <w:kern w:val="2"/>
      <w:sz w:val="21"/>
      <w:szCs w:val="24"/>
      <w:lang w:val="en-US" w:eastAsia="zh-CN" w:bidi="ar-SA"/>
    </w:rPr>
  </w:style>
  <w:style w:type="paragraph" w:customStyle="1" w:styleId="24">
    <w:name w:val="样式 6 10 磅"/>
    <w:pPr>
      <w:widowControl w:val="0"/>
      <w:jc w:val="both"/>
    </w:pPr>
    <w:rPr>
      <w:rFonts w:ascii="Calibri" w:eastAsia="宋体" w:cs="Arial" w:hAnsi="Calibri"/>
      <w:kern w:val="2"/>
      <w:sz w:val="21"/>
      <w:szCs w:val="24"/>
      <w:lang w:val="en-US" w:eastAsia="zh-CN" w:bidi="ar-SA"/>
    </w:rPr>
  </w:style>
  <w:style w:type="paragraph" w:customStyle="1" w:styleId="25">
    <w:name w:val="样式 7 10 磅"/>
    <w:pPr>
      <w:widowControl w:val="0"/>
      <w:jc w:val="both"/>
    </w:pPr>
    <w:rPr>
      <w:rFonts w:ascii="Calibri" w:eastAsia="宋体" w:cs="Arial" w:hAnsi="Calibri"/>
      <w:kern w:val="2"/>
      <w:sz w:val="21"/>
      <w:szCs w:val="24"/>
      <w:lang w:val="en-US" w:eastAsia="zh-CN" w:bidi="ar-SA"/>
    </w:rPr>
  </w:style>
  <w:style w:type="paragraph" w:customStyle="1" w:styleId="26">
    <w:name w:val="样式 8 10 磅"/>
    <w:pPr>
      <w:widowControl w:val="0"/>
      <w:jc w:val="both"/>
    </w:pPr>
    <w:rPr>
      <w:rFonts w:ascii="Calibri" w:eastAsia="宋体" w:cs="Arial" w:hAnsi="Calibri"/>
      <w:kern w:val="2"/>
      <w:sz w:val="21"/>
      <w:szCs w:val="24"/>
      <w:lang w:val="en-US" w:eastAsia="zh-CN" w:bidi="ar-SA"/>
    </w:rPr>
  </w:style>
  <w:style w:type="paragraph" w:customStyle="1" w:styleId="27">
    <w:name w:val="样式 9 10 磅"/>
    <w:pPr>
      <w:widowControl w:val="0"/>
      <w:jc w:val="both"/>
    </w:pPr>
    <w:rPr>
      <w:rFonts w:ascii="Calibri" w:eastAsia="宋体" w:cs="Arial" w:hAnsi="Calibri"/>
      <w:kern w:val="2"/>
      <w:sz w:val="21"/>
      <w:szCs w:val="24"/>
      <w:lang w:val="en-US" w:eastAsia="zh-CN" w:bidi="ar-SA"/>
    </w:rPr>
  </w:style>
  <w:style w:type="paragraph" w:customStyle="1" w:styleId="28">
    <w:name w:val="样式 10 10 磅"/>
    <w:pPr>
      <w:widowControl w:val="0"/>
      <w:jc w:val="both"/>
    </w:pPr>
    <w:rPr>
      <w:rFonts w:ascii="Calibri" w:eastAsia="宋体" w:cs="Arial" w:hAnsi="Calibri"/>
      <w:kern w:val="2"/>
      <w:sz w:val="21"/>
      <w:szCs w:val="24"/>
      <w:lang w:val="en-US" w:eastAsia="zh-CN" w:bidi="ar-SA"/>
    </w:rPr>
  </w:style>
  <w:style w:type="paragraph" w:customStyle="1" w:styleId="29">
    <w:name w:val="样式 11 10 磅"/>
    <w:pPr>
      <w:widowControl w:val="0"/>
      <w:jc w:val="both"/>
    </w:pPr>
    <w:rPr>
      <w:rFonts w:ascii="Calibri" w:eastAsia="宋体" w:cs="Arial" w:hAnsi="Calibri"/>
      <w:kern w:val="2"/>
      <w:sz w:val="21"/>
      <w:szCs w:val="24"/>
      <w:lang w:val="en-US" w:eastAsia="zh-CN" w:bidi="ar-SA"/>
    </w:rPr>
  </w:style>
  <w:style w:type="paragraph" w:customStyle="1" w:styleId="30">
    <w:name w:val="样式 12 10 磅"/>
    <w:pPr>
      <w:widowControl w:val="0"/>
      <w:jc w:val="both"/>
    </w:pPr>
    <w:rPr>
      <w:rFonts w:ascii="Calibri" w:eastAsia="宋体" w:cs="Arial" w:hAnsi="Calibri"/>
      <w:kern w:val="2"/>
      <w:sz w:val="21"/>
      <w:szCs w:val="24"/>
      <w:lang w:val="en-US" w:eastAsia="zh-CN" w:bidi="ar-SA"/>
    </w:rPr>
  </w:style>
  <w:style w:type="paragraph" w:customStyle="1" w:styleId="31">
    <w:name w:val="样式 13 10 磅"/>
    <w:pPr>
      <w:widowControl w:val="0"/>
      <w:jc w:val="both"/>
    </w:pPr>
    <w:rPr>
      <w:rFonts w:ascii="Calibri" w:eastAsia="宋体" w:cs="Arial" w:hAnsi="Calibri"/>
      <w:kern w:val="2"/>
      <w:sz w:val="21"/>
      <w:szCs w:val="24"/>
      <w:lang w:val="en-US" w:eastAsia="zh-CN" w:bidi="ar-SA"/>
    </w:rPr>
  </w:style>
  <w:style w:type="paragraph" w:customStyle="1" w:styleId="32">
    <w:name w:val="样式 14 10 磅"/>
    <w:pPr>
      <w:widowControl w:val="0"/>
      <w:jc w:val="both"/>
    </w:pPr>
    <w:rPr>
      <w:rFonts w:ascii="Calibri" w:eastAsia="宋体" w:cs="Arial" w:hAnsi="Calibri"/>
      <w:kern w:val="2"/>
      <w:sz w:val="21"/>
      <w:szCs w:val="24"/>
      <w:lang w:val="en-US" w:eastAsia="zh-CN" w:bidi="ar-SA"/>
    </w:rPr>
  </w:style>
  <w:style w:type="paragraph" w:customStyle="1" w:styleId="33">
    <w:name w:val="样式 15 10 磅"/>
    <w:pPr>
      <w:widowControl w:val="0"/>
      <w:jc w:val="both"/>
    </w:pPr>
    <w:rPr>
      <w:rFonts w:ascii="Calibri" w:eastAsia="宋体" w:cs="Arial" w:hAnsi="Calibri"/>
      <w:kern w:val="2"/>
      <w:sz w:val="21"/>
      <w:szCs w:val="24"/>
      <w:lang w:val="en-US" w:eastAsia="zh-CN" w:bidi="ar-SA"/>
    </w:rPr>
  </w:style>
  <w:style w:type="paragraph" w:customStyle="1" w:styleId="34">
    <w:name w:val="样式 16 10 磅"/>
    <w:pPr>
      <w:widowControl w:val="0"/>
      <w:jc w:val="both"/>
    </w:pPr>
    <w:rPr>
      <w:rFonts w:ascii="Calibri" w:eastAsia="宋体" w:cs="Arial" w:hAnsi="Calibri"/>
      <w:kern w:val="2"/>
      <w:sz w:val="21"/>
      <w:szCs w:val="24"/>
      <w:lang w:val="en-US" w:eastAsia="zh-CN" w:bidi="ar-SA"/>
    </w:rPr>
  </w:style>
  <w:style w:type="paragraph" w:customStyle="1" w:styleId="35">
    <w:name w:val="样式 17 10 磅"/>
    <w:pPr>
      <w:widowControl w:val="0"/>
      <w:jc w:val="both"/>
    </w:pPr>
    <w:rPr>
      <w:rFonts w:ascii="Calibri" w:eastAsia="宋体" w:cs="Arial" w:hAnsi="Calibri"/>
      <w:kern w:val="2"/>
      <w:sz w:val="21"/>
      <w:szCs w:val="24"/>
      <w:lang w:val="en-US" w:eastAsia="zh-CN" w:bidi="ar-SA"/>
    </w:rPr>
  </w:style>
  <w:style w:type="paragraph" w:customStyle="1" w:styleId="36">
    <w:name w:val="样式 18 10 磅"/>
    <w:pPr>
      <w:widowControl w:val="0"/>
      <w:jc w:val="both"/>
    </w:pPr>
    <w:rPr>
      <w:rFonts w:ascii="Calibri" w:eastAsia="宋体" w:cs="Arial" w:hAnsi="Calibri"/>
      <w:kern w:val="2"/>
      <w:sz w:val="21"/>
      <w:szCs w:val="24"/>
      <w:lang w:val="en-US" w:eastAsia="zh-CN" w:bidi="ar-SA"/>
    </w:rPr>
  </w:style>
  <w:style w:type="paragraph" w:customStyle="1" w:styleId="37">
    <w:name w:val="样式 19 10 磅"/>
    <w:pPr>
      <w:widowControl w:val="0"/>
      <w:jc w:val="both"/>
    </w:pPr>
    <w:rPr>
      <w:rFonts w:ascii="Calibri" w:eastAsia="宋体" w:cs="Arial" w:hAnsi="Calibri"/>
      <w:kern w:val="2"/>
      <w:sz w:val="21"/>
      <w:szCs w:val="24"/>
      <w:lang w:val="en-US" w:eastAsia="zh-CN" w:bidi="ar-SA"/>
    </w:rPr>
  </w:style>
  <w:style w:type="paragraph" w:customStyle="1" w:styleId="38">
    <w:name w:val="样式 20 10 磅"/>
    <w:pPr>
      <w:widowControl w:val="0"/>
      <w:jc w:val="both"/>
    </w:pPr>
    <w:rPr>
      <w:rFonts w:ascii="Calibri" w:eastAsia="宋体" w:cs="Arial" w:hAnsi="Calibri"/>
      <w:kern w:val="2"/>
      <w:sz w:val="21"/>
      <w:szCs w:val="24"/>
      <w:lang w:val="en-US" w:eastAsia="zh-CN" w:bidi="ar-SA"/>
    </w:rPr>
  </w:style>
  <w:style w:type="paragraph" w:customStyle="1" w:styleId="39">
    <w:name w:val="样式 21 10 磅"/>
    <w:pPr>
      <w:widowControl w:val="0"/>
      <w:jc w:val="both"/>
    </w:pPr>
    <w:rPr>
      <w:rFonts w:ascii="Calibri" w:eastAsia="宋体" w:cs="Arial" w:hAnsi="Calibri"/>
      <w:kern w:val="2"/>
      <w:sz w:val="21"/>
      <w:szCs w:val="24"/>
      <w:lang w:val="en-US" w:eastAsia="zh-CN" w:bidi="ar-SA"/>
    </w:rPr>
  </w:style>
  <w:style w:type="paragraph" w:customStyle="1" w:styleId="40">
    <w:name w:val="样式 22 10 磅"/>
    <w:pPr>
      <w:widowControl w:val="0"/>
      <w:jc w:val="both"/>
    </w:pPr>
    <w:rPr>
      <w:rFonts w:ascii="Calibri" w:eastAsia="宋体" w:cs="Arial" w:hAnsi="Calibri"/>
      <w:kern w:val="2"/>
      <w:sz w:val="21"/>
      <w:szCs w:val="24"/>
      <w:lang w:val="en-US" w:eastAsia="zh-CN" w:bidi="ar-SA"/>
    </w:rPr>
  </w:style>
  <w:style w:type="paragraph" w:customStyle="1" w:styleId="41">
    <w:name w:val="样式 23 10 磅"/>
    <w:pPr>
      <w:widowControl w:val="0"/>
      <w:jc w:val="both"/>
    </w:pPr>
    <w:rPr>
      <w:rFonts w:ascii="Calibri" w:eastAsia="宋体" w:cs="Arial" w:hAnsi="Calibri"/>
      <w:kern w:val="2"/>
      <w:sz w:val="21"/>
      <w:szCs w:val="24"/>
      <w:lang w:val="en-US" w:eastAsia="zh-CN" w:bidi="ar-SA"/>
    </w:rPr>
  </w:style>
  <w:style w:type="paragraph" w:customStyle="1" w:styleId="42">
    <w:name w:val="样式 24 10 磅"/>
    <w:pPr>
      <w:widowControl w:val="0"/>
      <w:jc w:val="both"/>
    </w:pPr>
    <w:rPr>
      <w:rFonts w:ascii="Calibri" w:eastAsia="宋体" w:cs="Arial" w:hAnsi="Calibri"/>
      <w:kern w:val="2"/>
      <w:sz w:val="21"/>
      <w:szCs w:val="24"/>
      <w:lang w:val="en-US" w:eastAsia="zh-CN" w:bidi="ar-SA"/>
    </w:rPr>
  </w:style>
  <w:style w:type="paragraph" w:customStyle="1" w:styleId="43">
    <w:name w:val="样式 25 10 磅"/>
    <w:pPr>
      <w:widowControl w:val="0"/>
      <w:jc w:val="both"/>
    </w:pPr>
    <w:rPr>
      <w:rFonts w:ascii="Calibri" w:eastAsia="宋体" w:cs="Arial" w:hAnsi="Calibri"/>
      <w:kern w:val="2"/>
      <w:sz w:val="21"/>
      <w:szCs w:val="24"/>
      <w:lang w:val="en-US" w:eastAsia="zh-CN" w:bidi="ar-SA"/>
    </w:rPr>
  </w:style>
  <w:style w:type="paragraph" w:customStyle="1" w:styleId="44">
    <w:name w:val="样式 26 10 磅"/>
    <w:pPr>
      <w:widowControl w:val="0"/>
      <w:jc w:val="both"/>
    </w:pPr>
    <w:rPr>
      <w:rFonts w:ascii="Calibri" w:eastAsia="宋体" w:cs="Arial" w:hAnsi="Calibri"/>
      <w:kern w:val="2"/>
      <w:sz w:val="21"/>
      <w:szCs w:val="24"/>
      <w:lang w:val="en-US" w:eastAsia="zh-CN" w:bidi="ar-SA"/>
    </w:rPr>
  </w:style>
  <w:style w:type="paragraph" w:customStyle="1" w:styleId="45">
    <w:name w:val="样式 27 10 磅"/>
    <w:pPr>
      <w:widowControl w:val="0"/>
      <w:jc w:val="both"/>
    </w:pPr>
    <w:rPr>
      <w:rFonts w:ascii="Calibri" w:eastAsia="宋体" w:cs="Arial" w:hAnsi="Calibri"/>
      <w:kern w:val="2"/>
      <w:sz w:val="21"/>
      <w:szCs w:val="24"/>
      <w:lang w:val="en-US" w:eastAsia="zh-CN" w:bidi="ar-SA"/>
    </w:rPr>
  </w:style>
  <w:style w:type="paragraph" w:customStyle="1" w:styleId="46">
    <w:name w:val="样式 28 10 磅"/>
    <w:pPr>
      <w:widowControl w:val="0"/>
      <w:jc w:val="both"/>
    </w:pPr>
    <w:rPr>
      <w:rFonts w:ascii="Calibri" w:eastAsia="宋体" w:cs="Arial" w:hAnsi="Calibri"/>
      <w:kern w:val="2"/>
      <w:sz w:val="21"/>
      <w:szCs w:val="24"/>
      <w:lang w:val="en-US" w:eastAsia="zh-CN" w:bidi="ar-SA"/>
    </w:rPr>
  </w:style>
  <w:style w:type="paragraph" w:customStyle="1" w:styleId="47">
    <w:name w:val="样式 29 10 磅"/>
    <w:pPr>
      <w:widowControl w:val="0"/>
      <w:jc w:val="both"/>
    </w:pPr>
    <w:rPr>
      <w:rFonts w:ascii="Calibri" w:eastAsia="宋体" w:cs="Arial" w:hAnsi="Calibri"/>
      <w:kern w:val="2"/>
      <w:sz w:val="21"/>
      <w:szCs w:val="24"/>
      <w:lang w:val="en-US" w:eastAsia="zh-CN" w:bidi="ar-SA"/>
    </w:rPr>
  </w:style>
  <w:style w:type="paragraph" w:customStyle="1" w:styleId="48">
    <w:name w:val="样式 30 10 磅"/>
    <w:pPr>
      <w:widowControl w:val="0"/>
      <w:jc w:val="both"/>
    </w:pPr>
    <w:rPr>
      <w:rFonts w:ascii="Calibri" w:eastAsia="宋体" w:cs="Arial" w:hAnsi="Calibri"/>
      <w:kern w:val="2"/>
      <w:sz w:val="21"/>
      <w:szCs w:val="24"/>
      <w:lang w:val="en-US" w:eastAsia="zh-CN" w:bidi="ar-SA"/>
    </w:rPr>
  </w:style>
  <w:style w:type="paragraph" w:customStyle="1" w:styleId="49">
    <w:name w:val="样式 31 10 磅"/>
    <w:pPr>
      <w:widowControl w:val="0"/>
      <w:jc w:val="both"/>
    </w:pPr>
    <w:rPr>
      <w:rFonts w:ascii="Calibri" w:eastAsia="宋体" w:cs="Arial" w:hAnsi="Calibri"/>
      <w:kern w:val="2"/>
      <w:sz w:val="21"/>
      <w:szCs w:val="24"/>
      <w:lang w:val="en-US" w:eastAsia="zh-CN" w:bidi="ar-SA"/>
    </w:rPr>
  </w:style>
  <w:style w:type="paragraph" w:customStyle="1" w:styleId="50">
    <w:name w:val="样式 32 10 磅"/>
    <w:pPr>
      <w:widowControl w:val="0"/>
      <w:jc w:val="both"/>
    </w:pPr>
    <w:rPr>
      <w:rFonts w:ascii="Calibri" w:eastAsia="宋体" w:cs="Arial" w:hAnsi="Calibri"/>
      <w:kern w:val="2"/>
      <w:sz w:val="21"/>
      <w:szCs w:val="24"/>
      <w:lang w:val="en-US" w:eastAsia="zh-CN" w:bidi="ar-SA"/>
    </w:rPr>
  </w:style>
  <w:style w:type="paragraph" w:customStyle="1" w:styleId="51">
    <w:name w:val="样式 33 10 磅"/>
    <w:pPr>
      <w:widowControl w:val="0"/>
      <w:jc w:val="both"/>
    </w:pPr>
    <w:rPr>
      <w:rFonts w:ascii="Calibri" w:eastAsia="宋体" w:cs="Arial" w:hAnsi="Calibri"/>
      <w:kern w:val="2"/>
      <w:sz w:val="21"/>
      <w:szCs w:val="24"/>
      <w:lang w:val="en-US" w:eastAsia="zh-CN" w:bidi="ar-SA"/>
    </w:rPr>
  </w:style>
  <w:style w:type="paragraph" w:customStyle="1" w:styleId="52">
    <w:name w:val="样式 34 10 磅"/>
    <w:pPr>
      <w:widowControl w:val="0"/>
      <w:jc w:val="both"/>
    </w:pPr>
    <w:rPr>
      <w:rFonts w:ascii="Calibri" w:eastAsia="宋体" w:cs="Arial" w:hAnsi="Calibri"/>
      <w:kern w:val="2"/>
      <w:sz w:val="21"/>
      <w:szCs w:val="24"/>
      <w:lang w:val="en-US" w:eastAsia="zh-CN" w:bidi="ar-SA"/>
    </w:rPr>
  </w:style>
  <w:style w:type="paragraph" w:customStyle="1" w:styleId="53">
    <w:name w:val="样式 35 10 磅"/>
    <w:pPr>
      <w:widowControl w:val="0"/>
      <w:jc w:val="both"/>
    </w:pPr>
    <w:rPr>
      <w:rFonts w:ascii="Calibri" w:eastAsia="宋体" w:cs="Arial" w:hAnsi="Calibri"/>
      <w:kern w:val="2"/>
      <w:sz w:val="21"/>
      <w:szCs w:val="24"/>
      <w:lang w:val="en-US" w:eastAsia="zh-CN" w:bidi="ar-SA"/>
    </w:rPr>
  </w:style>
  <w:style w:type="paragraph" w:customStyle="1" w:styleId="54">
    <w:name w:val="样式 36 10 磅"/>
    <w:pPr>
      <w:widowControl w:val="0"/>
      <w:jc w:val="both"/>
    </w:pPr>
    <w:rPr>
      <w:rFonts w:ascii="Calibri" w:eastAsia="宋体" w:cs="Arial" w:hAnsi="Calibri"/>
      <w:kern w:val="2"/>
      <w:sz w:val="21"/>
      <w:szCs w:val="24"/>
      <w:lang w:val="en-US" w:eastAsia="zh-CN" w:bidi="ar-SA"/>
    </w:rPr>
  </w:style>
  <w:style w:type="paragraph" w:customStyle="1" w:styleId="55">
    <w:name w:val="样式 37 10 磅"/>
    <w:pPr>
      <w:widowControl w:val="0"/>
      <w:jc w:val="both"/>
    </w:pPr>
    <w:rPr>
      <w:rFonts w:ascii="Calibri" w:eastAsia="宋体" w:cs="Arial" w:hAnsi="Calibri"/>
      <w:kern w:val="2"/>
      <w:sz w:val="21"/>
      <w:szCs w:val="24"/>
      <w:lang w:val="en-US" w:eastAsia="zh-CN" w:bidi="ar-SA"/>
    </w:rPr>
  </w:style>
  <w:style w:type="paragraph" w:customStyle="1" w:styleId="56">
    <w:name w:val="样式 38 10 磅"/>
    <w:pPr>
      <w:widowControl w:val="0"/>
      <w:jc w:val="both"/>
    </w:pPr>
    <w:rPr>
      <w:rFonts w:ascii="Calibri" w:eastAsia="宋体" w:cs="Arial" w:hAnsi="Calibri"/>
      <w:kern w:val="2"/>
      <w:sz w:val="21"/>
      <w:szCs w:val="24"/>
      <w:lang w:val="en-US" w:eastAsia="zh-CN" w:bidi="ar-SA"/>
    </w:rPr>
  </w:style>
  <w:style w:type="paragraph" w:customStyle="1" w:styleId="57">
    <w:name w:val="样式 39 10 磅"/>
    <w:pPr>
      <w:widowControl w:val="0"/>
      <w:jc w:val="both"/>
    </w:pPr>
    <w:rPr>
      <w:rFonts w:ascii="Calibri" w:eastAsia="宋体" w:cs="Arial" w:hAnsi="Calibri"/>
      <w:kern w:val="2"/>
      <w:sz w:val="21"/>
      <w:szCs w:val="24"/>
      <w:lang w:val="en-US" w:eastAsia="zh-CN" w:bidi="ar-SA"/>
    </w:rPr>
  </w:style>
  <w:style w:type="paragraph" w:customStyle="1" w:styleId="58">
    <w:name w:val="样式 40 10 磅"/>
    <w:pPr>
      <w:widowControl w:val="0"/>
      <w:jc w:val="both"/>
    </w:pPr>
    <w:rPr>
      <w:rFonts w:ascii="Calibri" w:eastAsia="宋体" w:cs="Arial" w:hAnsi="Calibri"/>
      <w:kern w:val="2"/>
      <w:sz w:val="21"/>
      <w:szCs w:val="24"/>
      <w:lang w:val="en-US" w:eastAsia="zh-CN" w:bidi="ar-SA"/>
    </w:rPr>
  </w:style>
  <w:style w:type="paragraph" w:customStyle="1" w:styleId="59">
    <w:name w:val="样式 41 10 磅"/>
    <w:pPr>
      <w:widowControl w:val="0"/>
      <w:jc w:val="both"/>
    </w:pPr>
    <w:rPr>
      <w:rFonts w:ascii="Calibri" w:eastAsia="宋体" w:cs="Arial" w:hAnsi="Calibri"/>
      <w:kern w:val="2"/>
      <w:sz w:val="21"/>
      <w:szCs w:val="24"/>
      <w:lang w:val="en-US" w:eastAsia="zh-CN" w:bidi="ar-SA"/>
    </w:rPr>
  </w:style>
  <w:style w:type="paragraph" w:customStyle="1" w:styleId="60">
    <w:name w:val="样式 42 10 磅"/>
    <w:pPr>
      <w:widowControl w:val="0"/>
      <w:jc w:val="both"/>
    </w:pPr>
    <w:rPr>
      <w:rFonts w:ascii="Calibri" w:eastAsia="宋体" w:cs="Arial" w:hAnsi="Calibri"/>
      <w:kern w:val="2"/>
      <w:sz w:val="21"/>
      <w:szCs w:val="24"/>
      <w:lang w:val="en-US" w:eastAsia="zh-CN" w:bidi="ar-SA"/>
    </w:rPr>
  </w:style>
  <w:style w:type="paragraph" w:customStyle="1" w:styleId="61">
    <w:name w:val="样式 43 10 磅"/>
    <w:pPr>
      <w:widowControl w:val="0"/>
      <w:jc w:val="both"/>
    </w:pPr>
    <w:rPr>
      <w:rFonts w:ascii="Calibri" w:eastAsia="宋体" w:cs="Arial" w:hAnsi="Calibri"/>
      <w:kern w:val="2"/>
      <w:sz w:val="21"/>
      <w:szCs w:val="24"/>
      <w:lang w:val="en-US" w:eastAsia="zh-CN" w:bidi="ar-SA"/>
    </w:rPr>
  </w:style>
  <w:style w:type="paragraph" w:customStyle="1" w:styleId="62">
    <w:name w:val="样式 44 10 磅"/>
    <w:pPr>
      <w:widowControl w:val="0"/>
      <w:jc w:val="both"/>
    </w:pPr>
    <w:rPr>
      <w:rFonts w:ascii="Calibri" w:eastAsia="宋体" w:cs="Arial" w:hAnsi="Calibri"/>
      <w:kern w:val="2"/>
      <w:sz w:val="21"/>
      <w:szCs w:val="24"/>
      <w:lang w:val="en-US" w:eastAsia="zh-CN" w:bidi="ar-SA"/>
    </w:rPr>
  </w:style>
  <w:style w:type="paragraph" w:customStyle="1" w:styleId="63">
    <w:name w:val="样式 45 10 磅"/>
    <w:pPr>
      <w:widowControl w:val="0"/>
      <w:jc w:val="both"/>
    </w:pPr>
    <w:rPr>
      <w:rFonts w:ascii="Calibri" w:eastAsia="宋体" w:cs="Arial" w:hAnsi="Calibri"/>
      <w:kern w:val="2"/>
      <w:sz w:val="21"/>
      <w:szCs w:val="24"/>
      <w:lang w:val="en-US" w:eastAsia="zh-CN" w:bidi="ar-SA"/>
    </w:rPr>
  </w:style>
  <w:style w:type="paragraph" w:customStyle="1" w:styleId="64">
    <w:name w:val="样式 46 10 磅"/>
    <w:pPr>
      <w:widowControl w:val="0"/>
      <w:jc w:val="both"/>
    </w:pPr>
    <w:rPr>
      <w:rFonts w:ascii="Calibri" w:eastAsia="宋体" w:cs="Arial" w:hAnsi="Calibri"/>
      <w:kern w:val="2"/>
      <w:sz w:val="21"/>
      <w:szCs w:val="24"/>
      <w:lang w:val="en-US" w:eastAsia="zh-CN" w:bidi="ar-SA"/>
    </w:rPr>
  </w:style>
  <w:style w:type="paragraph" w:customStyle="1" w:styleId="65">
    <w:name w:val="样式 47 10 磅"/>
    <w:pPr>
      <w:widowControl w:val="0"/>
      <w:jc w:val="both"/>
    </w:pPr>
    <w:rPr>
      <w:rFonts w:ascii="Calibri" w:eastAsia="宋体" w:cs="Arial" w:hAnsi="Calibri"/>
      <w:kern w:val="2"/>
      <w:sz w:val="21"/>
      <w:szCs w:val="24"/>
      <w:lang w:val="en-US" w:eastAsia="zh-CN" w:bidi="ar-SA"/>
    </w:rPr>
  </w:style>
  <w:style w:type="paragraph" w:customStyle="1" w:styleId="66">
    <w:name w:val="样式 48 10 磅"/>
    <w:pPr>
      <w:widowControl w:val="0"/>
      <w:jc w:val="both"/>
    </w:pPr>
    <w:rPr>
      <w:rFonts w:ascii="Calibri" w:eastAsia="宋体" w:cs="Arial" w:hAnsi="Calibri"/>
      <w:kern w:val="2"/>
      <w:sz w:val="21"/>
      <w:szCs w:val="24"/>
      <w:lang w:val="en-US" w:eastAsia="zh-CN" w:bidi="ar-SA"/>
    </w:rPr>
  </w:style>
  <w:style w:type="paragraph" w:customStyle="1" w:styleId="67">
    <w:name w:val="样式 49 10 磅"/>
    <w:pPr>
      <w:widowControl w:val="0"/>
      <w:jc w:val="both"/>
    </w:pPr>
    <w:rPr>
      <w:rFonts w:ascii="Calibri" w:eastAsia="宋体" w:cs="Arial" w:hAnsi="Calibri"/>
      <w:kern w:val="2"/>
      <w:sz w:val="21"/>
      <w:szCs w:val="24"/>
      <w:lang w:val="en-US" w:eastAsia="zh-CN" w:bidi="ar-SA"/>
    </w:rPr>
  </w:style>
  <w:style w:type="paragraph" w:customStyle="1" w:styleId="68">
    <w:name w:val="样式 50 10 磅"/>
    <w:pPr>
      <w:widowControl w:val="0"/>
      <w:jc w:val="both"/>
    </w:pPr>
    <w:rPr>
      <w:rFonts w:ascii="Calibri" w:eastAsia="宋体" w:cs="Arial" w:hAnsi="Calibri"/>
      <w:kern w:val="2"/>
      <w:sz w:val="21"/>
      <w:szCs w:val="24"/>
      <w:lang w:val="en-US" w:eastAsia="zh-CN" w:bidi="ar-SA"/>
    </w:rPr>
  </w:style>
  <w:style w:type="paragraph" w:customStyle="1" w:styleId="69">
    <w:name w:val="样式 51 10 磅"/>
    <w:pPr>
      <w:widowControl w:val="0"/>
      <w:jc w:val="both"/>
    </w:pPr>
    <w:rPr>
      <w:rFonts w:ascii="Calibri" w:eastAsia="宋体" w:cs="Arial" w:hAnsi="Calibri"/>
      <w:kern w:val="2"/>
      <w:sz w:val="21"/>
      <w:szCs w:val="24"/>
      <w:lang w:val="en-US" w:eastAsia="zh-CN" w:bidi="ar-SA"/>
    </w:rPr>
  </w:style>
  <w:style w:type="paragraph" w:customStyle="1" w:styleId="70">
    <w:name w:val="样式 52 10 磅"/>
    <w:pPr>
      <w:widowControl w:val="0"/>
      <w:jc w:val="both"/>
    </w:pPr>
    <w:rPr>
      <w:rFonts w:ascii="Calibri" w:eastAsia="宋体" w:cs="Arial" w:hAnsi="Calibri"/>
      <w:kern w:val="2"/>
      <w:sz w:val="21"/>
      <w:szCs w:val="24"/>
      <w:lang w:val="en-US" w:eastAsia="zh-CN" w:bidi="ar-SA"/>
    </w:rPr>
  </w:style>
  <w:style w:type="paragraph" w:customStyle="1" w:styleId="71">
    <w:name w:val="样式 53 10 磅"/>
    <w:pPr>
      <w:widowControl w:val="0"/>
      <w:jc w:val="both"/>
    </w:pPr>
    <w:rPr>
      <w:rFonts w:ascii="Calibri" w:eastAsia="宋体" w:cs="Arial" w:hAnsi="Calibri"/>
      <w:kern w:val="2"/>
      <w:sz w:val="21"/>
      <w:szCs w:val="24"/>
      <w:lang w:val="en-US" w:eastAsia="zh-CN" w:bidi="ar-SA"/>
    </w:rPr>
  </w:style>
  <w:style w:type="paragraph" w:customStyle="1" w:styleId="72">
    <w:name w:val="样式 54 10 磅"/>
    <w:pPr>
      <w:widowControl w:val="0"/>
      <w:jc w:val="both"/>
    </w:pPr>
    <w:rPr>
      <w:rFonts w:ascii="Calibri" w:eastAsia="宋体" w:cs="Arial" w:hAnsi="Calibri"/>
      <w:kern w:val="2"/>
      <w:sz w:val="21"/>
      <w:szCs w:val="24"/>
      <w:lang w:val="en-US" w:eastAsia="zh-CN" w:bidi="ar-SA"/>
    </w:rPr>
  </w:style>
  <w:style w:type="paragraph" w:customStyle="1" w:styleId="73">
    <w:name w:val="样式 小四"/>
    <w:pPr>
      <w:widowControl w:val="0"/>
      <w:spacing w:line="240" w:lineRule="auto"/>
      <w:jc w:val="left"/>
    </w:pPr>
    <w:rPr>
      <w:rFonts w:ascii="宋体" w:eastAsia="宋体" w:cs="Times New Roman"/>
      <w:kern w:val="2"/>
      <w:sz w:val="24"/>
      <w:szCs w:val="21"/>
      <w:lang w:val="en-US" w:eastAsia="zh-CN" w:bidi="ar-SA"/>
    </w:rPr>
  </w:style>
  <w:style w:type="paragraph" w:customStyle="1" w:styleId="74">
    <w:name w:val="样式 55 10 磅"/>
    <w:pPr>
      <w:widowControl w:val="0"/>
      <w:jc w:val="both"/>
    </w:pPr>
    <w:rPr>
      <w:rFonts w:ascii="Calibri" w:eastAsia="宋体" w:cs="Arial" w:hAnsi="Calibri"/>
      <w:kern w:val="2"/>
      <w:sz w:val="21"/>
      <w:szCs w:val="24"/>
      <w:lang w:val="en-US" w:eastAsia="zh-CN" w:bidi="ar-SA"/>
    </w:rPr>
  </w:style>
  <w:style w:type="paragraph" w:customStyle="1" w:styleId="75">
    <w:name w:val="样式 56 10 磅"/>
    <w:pPr>
      <w:widowControl w:val="0"/>
      <w:jc w:val="both"/>
    </w:pPr>
    <w:rPr>
      <w:rFonts w:ascii="Calibri" w:eastAsia="宋体" w:cs="Arial" w:hAnsi="Calibri"/>
      <w:kern w:val="2"/>
      <w:sz w:val="21"/>
      <w:szCs w:val="24"/>
      <w:lang w:val="en-US" w:eastAsia="zh-CN" w:bidi="ar-SA"/>
    </w:rPr>
  </w:style>
  <w:style w:type="paragraph" w:customStyle="1" w:styleId="76">
    <w:name w:val="样式 57 10 磅"/>
    <w:pPr>
      <w:widowControl w:val="0"/>
      <w:jc w:val="both"/>
    </w:pPr>
    <w:rPr>
      <w:rFonts w:ascii="Calibri" w:eastAsia="宋体" w:cs="Arial" w:hAnsi="Calibri"/>
      <w:kern w:val="2"/>
      <w:sz w:val="21"/>
      <w:szCs w:val="24"/>
      <w:lang w:val="en-US" w:eastAsia="zh-CN" w:bidi="ar-SA"/>
    </w:rPr>
  </w:style>
  <w:style w:type="paragraph" w:customStyle="1" w:styleId="77">
    <w:name w:val="样式 58 10 磅"/>
    <w:pPr>
      <w:widowControl w:val="0"/>
      <w:jc w:val="both"/>
    </w:pPr>
    <w:rPr>
      <w:rFonts w:ascii="Calibri" w:eastAsia="宋体" w:cs="Arial" w:hAnsi="Calibri"/>
      <w:kern w:val="2"/>
      <w:sz w:val="21"/>
      <w:szCs w:val="24"/>
      <w:lang w:val="en-US" w:eastAsia="zh-CN" w:bidi="ar-SA"/>
    </w:rPr>
  </w:style>
  <w:style w:type="paragraph" w:customStyle="1" w:styleId="78">
    <w:name w:val="样式 59 10 磅"/>
    <w:pPr>
      <w:widowControl w:val="0"/>
      <w:jc w:val="both"/>
    </w:pPr>
    <w:rPr>
      <w:rFonts w:ascii="Calibri" w:eastAsia="宋体" w:cs="Arial" w:hAnsi="Calibri"/>
      <w:kern w:val="2"/>
      <w:sz w:val="21"/>
      <w:szCs w:val="24"/>
      <w:lang w:val="en-US" w:eastAsia="zh-CN" w:bidi="ar-SA"/>
    </w:rPr>
  </w:style>
  <w:style w:type="paragraph" w:customStyle="1" w:styleId="79">
    <w:name w:val="样式 60 10 磅"/>
    <w:pPr>
      <w:widowControl w:val="0"/>
      <w:jc w:val="both"/>
    </w:pPr>
    <w:rPr>
      <w:rFonts w:ascii="Calibri" w:eastAsia="宋体" w:cs="Arial" w:hAnsi="Calibri"/>
      <w:kern w:val="2"/>
      <w:sz w:val="21"/>
      <w:szCs w:val="24"/>
      <w:lang w:val="en-US" w:eastAsia="zh-CN" w:bidi="ar-SA"/>
    </w:rPr>
  </w:style>
  <w:style w:type="paragraph" w:customStyle="1" w:styleId="80">
    <w:name w:val="样式 61 10 磅"/>
    <w:pPr>
      <w:widowControl w:val="0"/>
      <w:jc w:val="both"/>
    </w:pPr>
    <w:rPr>
      <w:rFonts w:ascii="Calibri" w:eastAsia="宋体" w:cs="Arial" w:hAnsi="Calibri"/>
      <w:kern w:val="2"/>
      <w:sz w:val="21"/>
      <w:szCs w:val="24"/>
      <w:lang w:val="en-US" w:eastAsia="zh-CN" w:bidi="ar-SA"/>
    </w:rPr>
  </w:style>
  <w:style w:type="paragraph" w:customStyle="1" w:styleId="81">
    <w:name w:val="样式 62 10 磅"/>
    <w:pPr>
      <w:widowControl w:val="0"/>
      <w:jc w:val="both"/>
    </w:pPr>
    <w:rPr>
      <w:rFonts w:ascii="Calibri" w:eastAsia="宋体" w:cs="Arial" w:hAnsi="Calibri"/>
      <w:kern w:val="2"/>
      <w:sz w:val="21"/>
      <w:szCs w:val="24"/>
      <w:lang w:val="en-US" w:eastAsia="zh-CN" w:bidi="ar-SA"/>
    </w:rPr>
  </w:style>
  <w:style w:type="paragraph" w:customStyle="1" w:styleId="82">
    <w:name w:val="样式 63 10 磅"/>
    <w:pPr>
      <w:widowControl w:val="0"/>
      <w:jc w:val="both"/>
    </w:pPr>
    <w:rPr>
      <w:rFonts w:ascii="Calibri" w:eastAsia="宋体" w:cs="Arial" w:hAnsi="Calibri"/>
      <w:kern w:val="2"/>
      <w:sz w:val="21"/>
      <w:szCs w:val="24"/>
      <w:lang w:val="en-US" w:eastAsia="zh-CN" w:bidi="ar-SA"/>
    </w:rPr>
  </w:style>
  <w:style w:type="paragraph" w:customStyle="1" w:styleId="83">
    <w:name w:val="样式 64 10 磅"/>
    <w:pPr>
      <w:widowControl w:val="0"/>
      <w:jc w:val="both"/>
    </w:pPr>
    <w:rPr>
      <w:rFonts w:ascii="Calibri" w:eastAsia="宋体" w:cs="Arial" w:hAnsi="Calibri"/>
      <w:kern w:val="2"/>
      <w:sz w:val="21"/>
      <w:szCs w:val="24"/>
      <w:lang w:val="en-US" w:eastAsia="zh-CN" w:bidi="ar-SA"/>
    </w:rPr>
  </w:style>
  <w:style w:type="paragraph" w:customStyle="1" w:styleId="84">
    <w:name w:val="样式 65 10 磅"/>
    <w:pPr>
      <w:widowControl w:val="0"/>
      <w:jc w:val="both"/>
    </w:pPr>
    <w:rPr>
      <w:rFonts w:ascii="Calibri" w:eastAsia="宋体" w:cs="Arial" w:hAnsi="Calibri"/>
      <w:kern w:val="2"/>
      <w:sz w:val="21"/>
      <w:szCs w:val="24"/>
      <w:lang w:val="en-US" w:eastAsia="zh-CN" w:bidi="ar-SA"/>
    </w:rPr>
  </w:style>
  <w:style w:type="paragraph" w:customStyle="1" w:styleId="85">
    <w:name w:val="样式 66 10 磅"/>
    <w:pPr>
      <w:widowControl w:val="0"/>
      <w:jc w:val="both"/>
    </w:pPr>
    <w:rPr>
      <w:rFonts w:ascii="Calibri" w:eastAsia="宋体" w:cs="Arial" w:hAnsi="Calibri"/>
      <w:kern w:val="2"/>
      <w:sz w:val="21"/>
      <w:szCs w:val="24"/>
      <w:lang w:val="en-US" w:eastAsia="zh-CN" w:bidi="ar-SA"/>
    </w:rPr>
  </w:style>
  <w:style w:type="paragraph" w:customStyle="1" w:styleId="86">
    <w:name w:val="样式 67 10 磅"/>
    <w:pPr>
      <w:widowControl w:val="0"/>
      <w:jc w:val="both"/>
    </w:pPr>
    <w:rPr>
      <w:rFonts w:ascii="Calibri" w:eastAsia="宋体" w:cs="Arial" w:hAnsi="Calibri"/>
      <w:kern w:val="2"/>
      <w:sz w:val="21"/>
      <w:szCs w:val="24"/>
      <w:lang w:val="en-US" w:eastAsia="zh-CN" w:bidi="ar-SA"/>
    </w:rPr>
  </w:style>
  <w:style w:type="paragraph" w:customStyle="1" w:styleId="87">
    <w:name w:val="样式 68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1378</TotalTime>
  <Application>Yozo_Office</Application>
  <Pages>3</Pages>
  <Words>2923</Words>
  <Characters>3303</Characters>
  <Lines>173</Lines>
  <Paragraphs>96</Paragraphs>
  <CharactersWithSpaces>3371</CharactersWithSpaces>
  <Company>MC SYSTEM</Company>
</Properties>
</file>

<file path=docProps/core.xml><?xml version="1.0" encoding="utf-8"?>
<cp:coreProperties xmlns:cp="http://schemas.openxmlformats.org/package/2006/metadata/core-properties" xmlns:dc="http://purl.org/dc/elements/1.1/" xmlns:dcterms="http://purl.org/dc/terms/" xmlns:xsi="http://www.w3.org/2001/XMLSchema-instance">
  <dc:title>询价函</dc:title>
  <dc:creator>苏信宇(综合技术服务中心/柳州局/广西局)</dc:creator>
  <cp:lastModifiedBy>杨志</cp:lastModifiedBy>
  <cp:revision>6</cp:revision>
  <dcterms:created xsi:type="dcterms:W3CDTF">2017-08-01T08:32:00Z</dcterms:created>
  <dcterms:modified xsi:type="dcterms:W3CDTF">2025-09-12T04:58:57Z</dcterms:modified>
</cp:coreProperties>
</file>